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DC690" w14:textId="77777777" w:rsidR="00A77B3E" w:rsidRDefault="00E50951">
      <w:pPr>
        <w:jc w:val="center"/>
        <w:rPr>
          <w:b/>
          <w:caps/>
        </w:rPr>
      </w:pPr>
      <w:r>
        <w:rPr>
          <w:b/>
          <w:caps/>
        </w:rPr>
        <w:t>Uchwała Nr III/25/24</w:t>
      </w:r>
      <w:r>
        <w:rPr>
          <w:b/>
          <w:caps/>
        </w:rPr>
        <w:br/>
        <w:t>Rady Miejskiej w Gostyniu</w:t>
      </w:r>
    </w:p>
    <w:p w14:paraId="6BD7375C" w14:textId="77777777" w:rsidR="00A77B3E" w:rsidRDefault="00E50951">
      <w:pPr>
        <w:spacing w:before="280" w:after="280"/>
        <w:jc w:val="center"/>
        <w:rPr>
          <w:b/>
          <w:caps/>
        </w:rPr>
      </w:pPr>
      <w:r>
        <w:t>z dnia 20 czerwca 2024 r.</w:t>
      </w:r>
    </w:p>
    <w:p w14:paraId="3A73B557" w14:textId="77777777" w:rsidR="00A77B3E" w:rsidRDefault="00E50951">
      <w:pPr>
        <w:keepNext/>
        <w:spacing w:after="480"/>
        <w:jc w:val="center"/>
      </w:pPr>
      <w:r>
        <w:rPr>
          <w:b/>
        </w:rPr>
        <w:t xml:space="preserve">w sprawie szczegółowych warunków przyznawania i odpłatności za usługi opiekuńcze i specjalistyczne usługi opiekuńcze realizowane, z wyłączeniem specjalistycznych usług </w:t>
      </w:r>
      <w:r>
        <w:rPr>
          <w:b/>
        </w:rPr>
        <w:t>opiekuńczych dla osób z zaburzeniami psychicznymi, oraz szczegółowe warunki częściowego lub całkowitego zwolnienia z opłat, jak również tryb ich pobierania, a także szczegółowych warunków przyznawania usług sąsiedzkich, wymiaru i zakresu usług sąsiedzkich oraz sposobu rozliczania wykonywania takich usług.</w:t>
      </w:r>
    </w:p>
    <w:p w14:paraId="04009A42" w14:textId="77777777" w:rsidR="00A77B3E" w:rsidRDefault="00E50951">
      <w:pPr>
        <w:keepLines/>
        <w:spacing w:before="120" w:after="120"/>
        <w:ind w:firstLine="227"/>
      </w:pPr>
      <w:r>
        <w:t>Na podstawie art. 18 ust. 2 pkt 15 oraz art. 40 ust. 1 ustawy z dnia 8 marca 1990 r. o samorządzie gminnym (t. j. Dz. U. z 2024 r., poz. 609 ze zm.), art. 17 ust. 1 pkt 11, art. 50 ust. 6, 6a, 6b ustawy z dnia</w:t>
      </w:r>
      <w:r>
        <w:br/>
        <w:t>12 marca 2004 r. o pomocy społecznej (t. j. Dz. U. z 2023 r., poz. 901 ze zm.), Rada Miejska w Gostyniu, ustala co następuje:</w:t>
      </w:r>
    </w:p>
    <w:p w14:paraId="262A8CAD" w14:textId="77777777" w:rsidR="00A77B3E" w:rsidRDefault="00E50951">
      <w:pPr>
        <w:keepLines/>
        <w:spacing w:before="120" w:after="120"/>
        <w:ind w:firstLine="340"/>
      </w:pPr>
      <w:r>
        <w:rPr>
          <w:b/>
        </w:rPr>
        <w:t>§ 1. </w:t>
      </w:r>
      <w:r>
        <w:t>Uchwała określa szczegółowe warunki przyznawania i odpłatności za usługi opiekuńcze i specjalistyczne usługi opiekuńcze realizowane, z wyłączeniem specjalistycznych usług opiekuńczych dla osób z zaburzeniami psychicznymi, oraz szczegółowe warunki częściowego lub całkowitego zwolnienia z opłat, jak również tryb ich pobierania, a także szczegółowe warunki przyznawania usług sąsiedzkich, wymiaru i zakres usług sąsiedzkich oraz sposób rozliczania wykonywania takich usług.</w:t>
      </w:r>
    </w:p>
    <w:p w14:paraId="49639340" w14:textId="77777777" w:rsidR="00A77B3E" w:rsidRDefault="00E50951">
      <w:pPr>
        <w:keepLines/>
        <w:spacing w:before="120" w:after="120"/>
        <w:ind w:firstLine="340"/>
        <w:rPr>
          <w:color w:val="000000"/>
          <w:u w:color="000000"/>
        </w:rPr>
      </w:pPr>
      <w:r>
        <w:rPr>
          <w:b/>
        </w:rPr>
        <w:t>§ 2. </w:t>
      </w:r>
      <w:r>
        <w:t>1. </w:t>
      </w:r>
      <w:r>
        <w:t>Usługi opiekuńcze i specjalistyczne usługi opiekuńcze, a także usługi sąsiedzkie świadczone są na terenie gminy Gostyń i  wykonywane są w miejscu zamieszkania osoby korzystającej.</w:t>
      </w:r>
    </w:p>
    <w:p w14:paraId="0C14E641" w14:textId="77777777" w:rsidR="00A77B3E" w:rsidRDefault="00E50951">
      <w:pPr>
        <w:keepLines/>
        <w:spacing w:before="120" w:after="120"/>
        <w:ind w:firstLine="340"/>
        <w:rPr>
          <w:color w:val="000000"/>
          <w:u w:color="000000"/>
        </w:rPr>
      </w:pPr>
      <w:r>
        <w:t>2. </w:t>
      </w:r>
      <w:r>
        <w:rPr>
          <w:color w:val="000000"/>
          <w:u w:color="000000"/>
        </w:rPr>
        <w:t>Pomoc w formie usług sąsiedzkich może zostać przyznana w pełnym zakresie określonym w art. 50 ust. 3a ustawy o pomocy społecznej.</w:t>
      </w:r>
    </w:p>
    <w:p w14:paraId="18D20396" w14:textId="77777777" w:rsidR="00A77B3E" w:rsidRDefault="00E50951">
      <w:pPr>
        <w:keepLines/>
        <w:spacing w:before="120" w:after="120"/>
        <w:ind w:firstLine="340"/>
        <w:rPr>
          <w:color w:val="000000"/>
          <w:u w:color="000000"/>
        </w:rPr>
      </w:pPr>
      <w:r>
        <w:t>3. </w:t>
      </w:r>
      <w:r>
        <w:rPr>
          <w:color w:val="000000"/>
          <w:u w:color="000000"/>
        </w:rPr>
        <w:t>Pomoc w formie usług sąsiedzkich przysługuje w wymiarze minimalnie 1 godziny tygodniowo -maksymalnie 7 godzin tygodniowo.</w:t>
      </w:r>
    </w:p>
    <w:p w14:paraId="4BE05F44" w14:textId="77777777" w:rsidR="00A77B3E" w:rsidRDefault="00E50951">
      <w:pPr>
        <w:keepLines/>
        <w:spacing w:before="120" w:after="120"/>
        <w:ind w:firstLine="340"/>
        <w:rPr>
          <w:color w:val="000000"/>
          <w:u w:color="000000"/>
        </w:rPr>
      </w:pPr>
      <w:r>
        <w:t>4. </w:t>
      </w:r>
      <w:r>
        <w:rPr>
          <w:color w:val="000000"/>
          <w:u w:color="000000"/>
        </w:rPr>
        <w:t>Pomoc w formie usług sąsiedzkich może stanowić uzupełnienie usług opiekuńczych lub specjalistycznych usług opiekuńczych.</w:t>
      </w:r>
    </w:p>
    <w:p w14:paraId="79B3A25E" w14:textId="77777777" w:rsidR="00A77B3E" w:rsidRDefault="00E50951">
      <w:pPr>
        <w:keepLines/>
        <w:spacing w:before="120" w:after="120"/>
        <w:ind w:firstLine="340"/>
        <w:rPr>
          <w:color w:val="000000"/>
          <w:u w:color="000000"/>
        </w:rPr>
      </w:pPr>
      <w:r>
        <w:t>5. </w:t>
      </w:r>
      <w:r>
        <w:rPr>
          <w:color w:val="000000"/>
          <w:u w:color="000000"/>
        </w:rPr>
        <w:t>Pomocą w formie usług sąsiedzkich mogą także zostać objęte osoby, które posiadają rodzinę, która nie jest w stanie udzielić, adekwatnego do potrzeb, wsparcia w codziennym funkcjonowaniu osobie potrzebującej.</w:t>
      </w:r>
    </w:p>
    <w:p w14:paraId="7B68FB36" w14:textId="77777777" w:rsidR="00A77B3E" w:rsidRDefault="00E50951">
      <w:pPr>
        <w:keepLines/>
        <w:spacing w:before="120" w:after="120"/>
        <w:ind w:firstLine="340"/>
        <w:rPr>
          <w:color w:val="000000"/>
          <w:u w:color="000000"/>
        </w:rPr>
      </w:pPr>
      <w:r>
        <w:t>6. </w:t>
      </w:r>
      <w:r>
        <w:rPr>
          <w:color w:val="000000"/>
          <w:u w:color="000000"/>
        </w:rPr>
        <w:t>Pomocą w formie usług sąsiedzkich obejmowane są osoby, które nie wymagają wsparcia w zakresie pielęgnacji zalecanej przez lekarza.</w:t>
      </w:r>
    </w:p>
    <w:p w14:paraId="057A4B9E" w14:textId="77777777" w:rsidR="00A77B3E" w:rsidRDefault="00E50951">
      <w:pPr>
        <w:keepLines/>
        <w:spacing w:before="120" w:after="120"/>
        <w:ind w:firstLine="340"/>
        <w:rPr>
          <w:color w:val="000000"/>
          <w:u w:color="000000"/>
        </w:rPr>
      </w:pPr>
      <w:r>
        <w:rPr>
          <w:b/>
        </w:rPr>
        <w:t>§ 3. </w:t>
      </w:r>
      <w:r>
        <w:t>1. </w:t>
      </w:r>
      <w:r>
        <w:rPr>
          <w:color w:val="000000"/>
          <w:u w:color="000000"/>
        </w:rPr>
        <w:t>Usługi opiekuńcze i specjalistyczne usługi opiekuńcze przysługują nieodpłatnie, jeżeli dochód osoby samotnie gospodarującej lub dochód osoby w rodzinie nie przekracza odpowiednio 300% kryterium dochodowego określonego w art. 8 ust. 1 pkt 1 lub pkt 2 ustawy o pomocy społecznej.</w:t>
      </w:r>
    </w:p>
    <w:p w14:paraId="3FB3AFC2" w14:textId="77777777" w:rsidR="00A77B3E" w:rsidRDefault="00E50951">
      <w:pPr>
        <w:keepLines/>
        <w:spacing w:before="120" w:after="120"/>
        <w:ind w:firstLine="340"/>
        <w:rPr>
          <w:color w:val="000000"/>
          <w:u w:color="000000"/>
        </w:rPr>
      </w:pPr>
      <w:r>
        <w:t>2. </w:t>
      </w:r>
      <w:r>
        <w:rPr>
          <w:color w:val="000000"/>
          <w:u w:color="000000"/>
        </w:rPr>
        <w:t>Usługi opiekuńcze w formie usług sąsiedzkich realizowane w ramach Programu „Korpus Wsparcia Seniora” przysługują nieodpłatnie.</w:t>
      </w:r>
    </w:p>
    <w:p w14:paraId="6B6A8AA1" w14:textId="77777777" w:rsidR="00A77B3E" w:rsidRDefault="00E50951">
      <w:pPr>
        <w:keepLines/>
        <w:spacing w:before="120" w:after="120"/>
        <w:ind w:firstLine="340"/>
        <w:rPr>
          <w:color w:val="000000"/>
          <w:u w:color="000000"/>
        </w:rPr>
      </w:pPr>
      <w:r>
        <w:t>3. </w:t>
      </w:r>
      <w:r>
        <w:rPr>
          <w:color w:val="000000"/>
          <w:u w:color="000000"/>
        </w:rPr>
        <w:t xml:space="preserve">Osoby niespełniające kryterium, o którym mowa w ust. 1, ponoszą opłatę w zależności od </w:t>
      </w:r>
      <w:r>
        <w:rPr>
          <w:color w:val="000000"/>
          <w:u w:color="000000"/>
        </w:rPr>
        <w:t>posiadanego dochodu, ustaloną według poniższej tabeli: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0"/>
        <w:gridCol w:w="2852"/>
        <w:gridCol w:w="3058"/>
      </w:tblGrid>
      <w:tr w:rsidR="00344A2F" w14:paraId="2D48294F" w14:textId="77777777">
        <w:tc>
          <w:tcPr>
            <w:tcW w:w="4380" w:type="dxa"/>
            <w:vMerge w:val="restart"/>
            <w:tcBorders>
              <w:top w:val="single" w:sz="2" w:space="0" w:color="auto"/>
              <w:left w:val="single" w:sz="2" w:space="0" w:color="auto"/>
              <w:bottom w:val="single" w:sz="2" w:space="0" w:color="auto"/>
              <w:right w:val="nil"/>
            </w:tcBorders>
            <w:tcMar>
              <w:top w:w="100" w:type="dxa"/>
            </w:tcMar>
          </w:tcPr>
          <w:p w14:paraId="71552491" w14:textId="77777777" w:rsidR="00A77B3E" w:rsidRDefault="00E50951">
            <w:pPr>
              <w:rPr>
                <w:color w:val="000000"/>
                <w:u w:color="000000"/>
              </w:rPr>
            </w:pPr>
            <w:r>
              <w:rPr>
                <w:sz w:val="24"/>
              </w:rPr>
              <w:t>Dochód w % kwoty stanowiącej kryterium dochodowe kwalifikujące do otrzymania świadczeń z pomocy społecznej</w:t>
            </w:r>
          </w:p>
        </w:tc>
        <w:tc>
          <w:tcPr>
            <w:tcW w:w="6030" w:type="dxa"/>
            <w:gridSpan w:val="2"/>
            <w:tcBorders>
              <w:top w:val="single" w:sz="2" w:space="0" w:color="auto"/>
              <w:left w:val="single" w:sz="2" w:space="0" w:color="auto"/>
              <w:bottom w:val="single" w:sz="2" w:space="0" w:color="auto"/>
              <w:right w:val="single" w:sz="2" w:space="0" w:color="auto"/>
            </w:tcBorders>
            <w:tcMar>
              <w:top w:w="100" w:type="dxa"/>
            </w:tcMar>
          </w:tcPr>
          <w:p w14:paraId="6A68C609" w14:textId="77777777" w:rsidR="00A77B3E" w:rsidRDefault="00E50951">
            <w:pPr>
              <w:rPr>
                <w:color w:val="000000"/>
                <w:u w:color="000000"/>
              </w:rPr>
            </w:pPr>
            <w:r>
              <w:rPr>
                <w:sz w:val="24"/>
              </w:rPr>
              <w:t>Wysokość opłaty w % ustalona od ceny za</w:t>
            </w:r>
          </w:p>
          <w:p w14:paraId="50822EBF" w14:textId="77777777" w:rsidR="00344A2F" w:rsidRDefault="00E50951">
            <w:r>
              <w:rPr>
                <w:sz w:val="24"/>
              </w:rPr>
              <w:t>1 godzinę usługi dla:</w:t>
            </w:r>
          </w:p>
        </w:tc>
      </w:tr>
      <w:tr w:rsidR="00344A2F" w14:paraId="03F978B6" w14:textId="77777777">
        <w:tc>
          <w:tcPr>
            <w:tcW w:w="4380" w:type="dxa"/>
            <w:vMerge/>
            <w:tcBorders>
              <w:top w:val="single" w:sz="2" w:space="0" w:color="auto"/>
              <w:left w:val="single" w:sz="2" w:space="0" w:color="auto"/>
              <w:bottom w:val="single" w:sz="2" w:space="0" w:color="auto"/>
              <w:right w:val="nil"/>
            </w:tcBorders>
            <w:tcMar>
              <w:top w:w="100" w:type="dxa"/>
            </w:tcMar>
          </w:tcPr>
          <w:p w14:paraId="44657FF5" w14:textId="77777777" w:rsidR="00A77B3E" w:rsidRDefault="00A77B3E">
            <w:pPr>
              <w:rPr>
                <w:color w:val="000000"/>
                <w:u w:color="000000"/>
              </w:rPr>
            </w:pPr>
          </w:p>
        </w:tc>
        <w:tc>
          <w:tcPr>
            <w:tcW w:w="2910" w:type="dxa"/>
            <w:tcBorders>
              <w:top w:val="nil"/>
              <w:left w:val="single" w:sz="2" w:space="0" w:color="auto"/>
              <w:bottom w:val="single" w:sz="2" w:space="0" w:color="auto"/>
              <w:right w:val="nil"/>
            </w:tcBorders>
            <w:tcMar>
              <w:top w:w="100" w:type="dxa"/>
            </w:tcMar>
          </w:tcPr>
          <w:p w14:paraId="04EAC60E" w14:textId="77777777" w:rsidR="00A77B3E" w:rsidRDefault="00E50951">
            <w:pPr>
              <w:rPr>
                <w:color w:val="000000"/>
                <w:u w:color="000000"/>
              </w:rPr>
            </w:pPr>
            <w:r>
              <w:rPr>
                <w:sz w:val="24"/>
              </w:rPr>
              <w:t>Osoby samotnie</w:t>
            </w:r>
          </w:p>
          <w:p w14:paraId="3DBCB7B7" w14:textId="77777777" w:rsidR="00344A2F" w:rsidRDefault="00E50951">
            <w:r>
              <w:rPr>
                <w:sz w:val="24"/>
              </w:rPr>
              <w:t>gospodarujące</w:t>
            </w:r>
          </w:p>
        </w:tc>
        <w:tc>
          <w:tcPr>
            <w:tcW w:w="3120" w:type="dxa"/>
            <w:tcBorders>
              <w:top w:val="nil"/>
              <w:left w:val="single" w:sz="2" w:space="0" w:color="auto"/>
              <w:bottom w:val="single" w:sz="2" w:space="0" w:color="auto"/>
              <w:right w:val="single" w:sz="2" w:space="0" w:color="auto"/>
            </w:tcBorders>
            <w:tcMar>
              <w:top w:w="100" w:type="dxa"/>
            </w:tcMar>
          </w:tcPr>
          <w:p w14:paraId="0BE0BCE7" w14:textId="77777777" w:rsidR="00A77B3E" w:rsidRDefault="00E50951">
            <w:pPr>
              <w:rPr>
                <w:color w:val="000000"/>
                <w:u w:color="000000"/>
              </w:rPr>
            </w:pPr>
            <w:r>
              <w:rPr>
                <w:sz w:val="24"/>
              </w:rPr>
              <w:t>Osoby gospodarujące</w:t>
            </w:r>
          </w:p>
          <w:p w14:paraId="47BBA017" w14:textId="77777777" w:rsidR="00344A2F" w:rsidRDefault="00E50951">
            <w:r>
              <w:rPr>
                <w:sz w:val="24"/>
              </w:rPr>
              <w:t>w rodzinie</w:t>
            </w:r>
          </w:p>
        </w:tc>
      </w:tr>
      <w:tr w:rsidR="00344A2F" w14:paraId="5BAA4024" w14:textId="77777777">
        <w:tc>
          <w:tcPr>
            <w:tcW w:w="4380" w:type="dxa"/>
            <w:tcBorders>
              <w:top w:val="nil"/>
              <w:left w:val="single" w:sz="2" w:space="0" w:color="auto"/>
              <w:bottom w:val="single" w:sz="2" w:space="0" w:color="auto"/>
              <w:right w:val="nil"/>
            </w:tcBorders>
            <w:tcMar>
              <w:top w:w="100" w:type="dxa"/>
            </w:tcMar>
          </w:tcPr>
          <w:p w14:paraId="1498963E" w14:textId="77777777" w:rsidR="00A77B3E" w:rsidRDefault="00E50951">
            <w:pPr>
              <w:rPr>
                <w:color w:val="000000"/>
                <w:u w:color="000000"/>
              </w:rPr>
            </w:pPr>
            <w:r>
              <w:rPr>
                <w:sz w:val="24"/>
              </w:rPr>
              <w:t xml:space="preserve">powyżej 300 % do 350 % </w:t>
            </w:r>
          </w:p>
        </w:tc>
        <w:tc>
          <w:tcPr>
            <w:tcW w:w="2910" w:type="dxa"/>
            <w:tcBorders>
              <w:top w:val="nil"/>
              <w:left w:val="single" w:sz="2" w:space="0" w:color="auto"/>
              <w:bottom w:val="single" w:sz="2" w:space="0" w:color="auto"/>
              <w:right w:val="nil"/>
            </w:tcBorders>
            <w:tcMar>
              <w:top w:w="100" w:type="dxa"/>
            </w:tcMar>
          </w:tcPr>
          <w:p w14:paraId="3CC87DDF" w14:textId="77777777" w:rsidR="00A77B3E" w:rsidRDefault="00E50951">
            <w:pPr>
              <w:rPr>
                <w:color w:val="000000"/>
                <w:u w:color="000000"/>
              </w:rPr>
            </w:pPr>
            <w:r>
              <w:rPr>
                <w:sz w:val="24"/>
              </w:rPr>
              <w:t xml:space="preserve">15 % </w:t>
            </w:r>
          </w:p>
        </w:tc>
        <w:tc>
          <w:tcPr>
            <w:tcW w:w="3120" w:type="dxa"/>
            <w:tcBorders>
              <w:top w:val="nil"/>
              <w:left w:val="single" w:sz="2" w:space="0" w:color="auto"/>
              <w:bottom w:val="single" w:sz="2" w:space="0" w:color="auto"/>
              <w:right w:val="single" w:sz="2" w:space="0" w:color="auto"/>
            </w:tcBorders>
            <w:tcMar>
              <w:top w:w="100" w:type="dxa"/>
            </w:tcMar>
          </w:tcPr>
          <w:p w14:paraId="7291BA70" w14:textId="77777777" w:rsidR="00A77B3E" w:rsidRDefault="00E50951">
            <w:pPr>
              <w:rPr>
                <w:color w:val="000000"/>
                <w:u w:color="000000"/>
              </w:rPr>
            </w:pPr>
            <w:r>
              <w:rPr>
                <w:sz w:val="24"/>
              </w:rPr>
              <w:t>15 %</w:t>
            </w:r>
          </w:p>
        </w:tc>
      </w:tr>
      <w:tr w:rsidR="00344A2F" w14:paraId="77C68882" w14:textId="77777777">
        <w:tc>
          <w:tcPr>
            <w:tcW w:w="4380" w:type="dxa"/>
            <w:tcBorders>
              <w:top w:val="nil"/>
              <w:left w:val="single" w:sz="2" w:space="0" w:color="auto"/>
              <w:bottom w:val="single" w:sz="2" w:space="0" w:color="auto"/>
              <w:right w:val="nil"/>
            </w:tcBorders>
            <w:tcMar>
              <w:top w:w="100" w:type="dxa"/>
            </w:tcMar>
          </w:tcPr>
          <w:p w14:paraId="2D6B7CD2" w14:textId="77777777" w:rsidR="00A77B3E" w:rsidRDefault="00E50951">
            <w:pPr>
              <w:rPr>
                <w:color w:val="000000"/>
                <w:u w:color="000000"/>
              </w:rPr>
            </w:pPr>
            <w:r>
              <w:rPr>
                <w:sz w:val="24"/>
              </w:rPr>
              <w:t xml:space="preserve">powyżej 350% do 400 % </w:t>
            </w:r>
          </w:p>
        </w:tc>
        <w:tc>
          <w:tcPr>
            <w:tcW w:w="2910" w:type="dxa"/>
            <w:tcBorders>
              <w:top w:val="nil"/>
              <w:left w:val="single" w:sz="2" w:space="0" w:color="auto"/>
              <w:bottom w:val="single" w:sz="2" w:space="0" w:color="auto"/>
              <w:right w:val="nil"/>
            </w:tcBorders>
            <w:tcMar>
              <w:top w:w="100" w:type="dxa"/>
            </w:tcMar>
          </w:tcPr>
          <w:p w14:paraId="0FA052AB" w14:textId="77777777" w:rsidR="00A77B3E" w:rsidRDefault="00E50951">
            <w:pPr>
              <w:rPr>
                <w:color w:val="000000"/>
                <w:u w:color="000000"/>
              </w:rPr>
            </w:pPr>
            <w:r>
              <w:rPr>
                <w:sz w:val="24"/>
              </w:rPr>
              <w:t xml:space="preserve">20 % </w:t>
            </w:r>
          </w:p>
        </w:tc>
        <w:tc>
          <w:tcPr>
            <w:tcW w:w="3120" w:type="dxa"/>
            <w:tcBorders>
              <w:top w:val="nil"/>
              <w:left w:val="single" w:sz="2" w:space="0" w:color="auto"/>
              <w:bottom w:val="single" w:sz="2" w:space="0" w:color="auto"/>
              <w:right w:val="single" w:sz="2" w:space="0" w:color="auto"/>
            </w:tcBorders>
            <w:tcMar>
              <w:top w:w="100" w:type="dxa"/>
            </w:tcMar>
          </w:tcPr>
          <w:p w14:paraId="14901D73" w14:textId="77777777" w:rsidR="00A77B3E" w:rsidRDefault="00E50951">
            <w:pPr>
              <w:rPr>
                <w:color w:val="000000"/>
                <w:u w:color="000000"/>
              </w:rPr>
            </w:pPr>
            <w:r>
              <w:rPr>
                <w:sz w:val="24"/>
              </w:rPr>
              <w:t>20 %</w:t>
            </w:r>
          </w:p>
        </w:tc>
      </w:tr>
      <w:tr w:rsidR="00344A2F" w14:paraId="10FB9BBB" w14:textId="77777777">
        <w:tc>
          <w:tcPr>
            <w:tcW w:w="4380" w:type="dxa"/>
            <w:tcBorders>
              <w:top w:val="nil"/>
              <w:left w:val="single" w:sz="2" w:space="0" w:color="auto"/>
              <w:bottom w:val="single" w:sz="2" w:space="0" w:color="auto"/>
              <w:right w:val="nil"/>
            </w:tcBorders>
            <w:tcMar>
              <w:top w:w="100" w:type="dxa"/>
            </w:tcMar>
          </w:tcPr>
          <w:p w14:paraId="166FEB39" w14:textId="77777777" w:rsidR="00A77B3E" w:rsidRDefault="00E50951">
            <w:pPr>
              <w:rPr>
                <w:color w:val="000000"/>
                <w:u w:color="000000"/>
              </w:rPr>
            </w:pPr>
            <w:r>
              <w:rPr>
                <w:sz w:val="24"/>
              </w:rPr>
              <w:t>powyżej  400 % do 450 %</w:t>
            </w:r>
          </w:p>
        </w:tc>
        <w:tc>
          <w:tcPr>
            <w:tcW w:w="2910" w:type="dxa"/>
            <w:tcBorders>
              <w:top w:val="nil"/>
              <w:left w:val="single" w:sz="2" w:space="0" w:color="auto"/>
              <w:bottom w:val="single" w:sz="2" w:space="0" w:color="auto"/>
              <w:right w:val="nil"/>
            </w:tcBorders>
            <w:tcMar>
              <w:top w:w="100" w:type="dxa"/>
            </w:tcMar>
          </w:tcPr>
          <w:p w14:paraId="5E9FB742" w14:textId="77777777" w:rsidR="00A77B3E" w:rsidRDefault="00E50951">
            <w:pPr>
              <w:rPr>
                <w:color w:val="000000"/>
                <w:u w:color="000000"/>
              </w:rPr>
            </w:pPr>
            <w:r>
              <w:rPr>
                <w:sz w:val="24"/>
              </w:rPr>
              <w:t xml:space="preserve">25 % </w:t>
            </w:r>
          </w:p>
        </w:tc>
        <w:tc>
          <w:tcPr>
            <w:tcW w:w="3120" w:type="dxa"/>
            <w:tcBorders>
              <w:top w:val="nil"/>
              <w:left w:val="single" w:sz="2" w:space="0" w:color="auto"/>
              <w:bottom w:val="single" w:sz="2" w:space="0" w:color="auto"/>
              <w:right w:val="single" w:sz="2" w:space="0" w:color="auto"/>
            </w:tcBorders>
            <w:tcMar>
              <w:top w:w="100" w:type="dxa"/>
            </w:tcMar>
          </w:tcPr>
          <w:p w14:paraId="304638BE" w14:textId="77777777" w:rsidR="00A77B3E" w:rsidRDefault="00E50951">
            <w:pPr>
              <w:rPr>
                <w:color w:val="000000"/>
                <w:u w:color="000000"/>
              </w:rPr>
            </w:pPr>
            <w:r>
              <w:rPr>
                <w:sz w:val="24"/>
              </w:rPr>
              <w:t>25 %</w:t>
            </w:r>
          </w:p>
        </w:tc>
      </w:tr>
      <w:tr w:rsidR="00344A2F" w14:paraId="06BFC797" w14:textId="77777777">
        <w:tc>
          <w:tcPr>
            <w:tcW w:w="4380" w:type="dxa"/>
            <w:tcBorders>
              <w:top w:val="nil"/>
              <w:left w:val="single" w:sz="2" w:space="0" w:color="auto"/>
              <w:bottom w:val="single" w:sz="2" w:space="0" w:color="auto"/>
              <w:right w:val="nil"/>
            </w:tcBorders>
            <w:tcMar>
              <w:top w:w="100" w:type="dxa"/>
            </w:tcMar>
          </w:tcPr>
          <w:p w14:paraId="1F920C15" w14:textId="77777777" w:rsidR="00A77B3E" w:rsidRDefault="00E50951">
            <w:pPr>
              <w:rPr>
                <w:color w:val="000000"/>
                <w:u w:color="000000"/>
              </w:rPr>
            </w:pPr>
            <w:r>
              <w:rPr>
                <w:sz w:val="24"/>
              </w:rPr>
              <w:t xml:space="preserve">powyżej  450 % do 500 % </w:t>
            </w:r>
          </w:p>
        </w:tc>
        <w:tc>
          <w:tcPr>
            <w:tcW w:w="2910" w:type="dxa"/>
            <w:tcBorders>
              <w:top w:val="nil"/>
              <w:left w:val="single" w:sz="2" w:space="0" w:color="auto"/>
              <w:bottom w:val="single" w:sz="2" w:space="0" w:color="auto"/>
              <w:right w:val="nil"/>
            </w:tcBorders>
            <w:tcMar>
              <w:top w:w="100" w:type="dxa"/>
            </w:tcMar>
          </w:tcPr>
          <w:p w14:paraId="40E64F7B" w14:textId="77777777" w:rsidR="00A77B3E" w:rsidRDefault="00E50951">
            <w:pPr>
              <w:rPr>
                <w:color w:val="000000"/>
                <w:u w:color="000000"/>
              </w:rPr>
            </w:pPr>
            <w:r>
              <w:rPr>
                <w:sz w:val="24"/>
              </w:rPr>
              <w:t xml:space="preserve">35 % </w:t>
            </w:r>
          </w:p>
        </w:tc>
        <w:tc>
          <w:tcPr>
            <w:tcW w:w="3120" w:type="dxa"/>
            <w:tcBorders>
              <w:top w:val="nil"/>
              <w:left w:val="single" w:sz="2" w:space="0" w:color="auto"/>
              <w:bottom w:val="single" w:sz="2" w:space="0" w:color="auto"/>
              <w:right w:val="single" w:sz="2" w:space="0" w:color="auto"/>
            </w:tcBorders>
            <w:tcMar>
              <w:top w:w="100" w:type="dxa"/>
            </w:tcMar>
          </w:tcPr>
          <w:p w14:paraId="5E83F0F5" w14:textId="77777777" w:rsidR="00A77B3E" w:rsidRDefault="00E50951">
            <w:pPr>
              <w:rPr>
                <w:color w:val="000000"/>
                <w:u w:color="000000"/>
              </w:rPr>
            </w:pPr>
            <w:r>
              <w:rPr>
                <w:sz w:val="24"/>
              </w:rPr>
              <w:t>35 %</w:t>
            </w:r>
          </w:p>
        </w:tc>
      </w:tr>
      <w:tr w:rsidR="00344A2F" w14:paraId="65035E40" w14:textId="77777777">
        <w:tc>
          <w:tcPr>
            <w:tcW w:w="4380" w:type="dxa"/>
            <w:tcBorders>
              <w:top w:val="nil"/>
              <w:left w:val="single" w:sz="2" w:space="0" w:color="auto"/>
              <w:bottom w:val="single" w:sz="2" w:space="0" w:color="auto"/>
              <w:right w:val="nil"/>
            </w:tcBorders>
            <w:tcMar>
              <w:top w:w="100" w:type="dxa"/>
            </w:tcMar>
          </w:tcPr>
          <w:p w14:paraId="0658A481" w14:textId="77777777" w:rsidR="00A77B3E" w:rsidRDefault="00E50951">
            <w:pPr>
              <w:rPr>
                <w:color w:val="000000"/>
                <w:u w:color="000000"/>
              </w:rPr>
            </w:pPr>
            <w:r>
              <w:rPr>
                <w:sz w:val="24"/>
              </w:rPr>
              <w:lastRenderedPageBreak/>
              <w:t xml:space="preserve">powyżej  500% do 600 % </w:t>
            </w:r>
          </w:p>
        </w:tc>
        <w:tc>
          <w:tcPr>
            <w:tcW w:w="2910" w:type="dxa"/>
            <w:tcBorders>
              <w:top w:val="nil"/>
              <w:left w:val="single" w:sz="2" w:space="0" w:color="auto"/>
              <w:bottom w:val="single" w:sz="2" w:space="0" w:color="auto"/>
              <w:right w:val="nil"/>
            </w:tcBorders>
            <w:tcMar>
              <w:top w:w="100" w:type="dxa"/>
            </w:tcMar>
          </w:tcPr>
          <w:p w14:paraId="11ABA8A1" w14:textId="77777777" w:rsidR="00A77B3E" w:rsidRDefault="00E50951">
            <w:pPr>
              <w:rPr>
                <w:color w:val="000000"/>
                <w:u w:color="000000"/>
              </w:rPr>
            </w:pPr>
            <w:r>
              <w:rPr>
                <w:sz w:val="24"/>
              </w:rPr>
              <w:t xml:space="preserve">45 % </w:t>
            </w:r>
          </w:p>
        </w:tc>
        <w:tc>
          <w:tcPr>
            <w:tcW w:w="3120" w:type="dxa"/>
            <w:tcBorders>
              <w:top w:val="nil"/>
              <w:left w:val="single" w:sz="2" w:space="0" w:color="auto"/>
              <w:bottom w:val="single" w:sz="2" w:space="0" w:color="auto"/>
              <w:right w:val="single" w:sz="2" w:space="0" w:color="auto"/>
            </w:tcBorders>
            <w:tcMar>
              <w:top w:w="100" w:type="dxa"/>
            </w:tcMar>
          </w:tcPr>
          <w:p w14:paraId="0170F212" w14:textId="77777777" w:rsidR="00A77B3E" w:rsidRDefault="00E50951">
            <w:pPr>
              <w:rPr>
                <w:color w:val="000000"/>
                <w:u w:color="000000"/>
              </w:rPr>
            </w:pPr>
            <w:r>
              <w:rPr>
                <w:sz w:val="24"/>
              </w:rPr>
              <w:t>45 %</w:t>
            </w:r>
          </w:p>
        </w:tc>
      </w:tr>
      <w:tr w:rsidR="00344A2F" w14:paraId="232F5F59" w14:textId="77777777">
        <w:tc>
          <w:tcPr>
            <w:tcW w:w="4380" w:type="dxa"/>
            <w:tcBorders>
              <w:top w:val="nil"/>
              <w:left w:val="single" w:sz="2" w:space="0" w:color="auto"/>
              <w:bottom w:val="single" w:sz="2" w:space="0" w:color="auto"/>
              <w:right w:val="nil"/>
            </w:tcBorders>
            <w:tcMar>
              <w:top w:w="100" w:type="dxa"/>
            </w:tcMar>
          </w:tcPr>
          <w:p w14:paraId="4D43A28E" w14:textId="77777777" w:rsidR="00A77B3E" w:rsidRDefault="00E50951">
            <w:pPr>
              <w:rPr>
                <w:color w:val="000000"/>
                <w:u w:color="000000"/>
              </w:rPr>
            </w:pPr>
            <w:r>
              <w:rPr>
                <w:sz w:val="24"/>
              </w:rPr>
              <w:t>powyżej 600 % do 700 %</w:t>
            </w:r>
          </w:p>
        </w:tc>
        <w:tc>
          <w:tcPr>
            <w:tcW w:w="2910" w:type="dxa"/>
            <w:tcBorders>
              <w:top w:val="nil"/>
              <w:left w:val="single" w:sz="2" w:space="0" w:color="auto"/>
              <w:bottom w:val="single" w:sz="2" w:space="0" w:color="auto"/>
              <w:right w:val="nil"/>
            </w:tcBorders>
            <w:tcMar>
              <w:top w:w="100" w:type="dxa"/>
            </w:tcMar>
          </w:tcPr>
          <w:p w14:paraId="36BFF6B5" w14:textId="77777777" w:rsidR="00A77B3E" w:rsidRDefault="00E50951">
            <w:pPr>
              <w:rPr>
                <w:color w:val="000000"/>
                <w:u w:color="000000"/>
              </w:rPr>
            </w:pPr>
            <w:r>
              <w:rPr>
                <w:sz w:val="24"/>
              </w:rPr>
              <w:t xml:space="preserve">100 % </w:t>
            </w:r>
          </w:p>
        </w:tc>
        <w:tc>
          <w:tcPr>
            <w:tcW w:w="3120" w:type="dxa"/>
            <w:tcBorders>
              <w:top w:val="nil"/>
              <w:left w:val="single" w:sz="2" w:space="0" w:color="auto"/>
              <w:bottom w:val="single" w:sz="2" w:space="0" w:color="auto"/>
              <w:right w:val="single" w:sz="2" w:space="0" w:color="auto"/>
            </w:tcBorders>
            <w:tcMar>
              <w:top w:w="100" w:type="dxa"/>
            </w:tcMar>
          </w:tcPr>
          <w:p w14:paraId="7D683E6A" w14:textId="77777777" w:rsidR="00A77B3E" w:rsidRDefault="00E50951">
            <w:pPr>
              <w:rPr>
                <w:color w:val="000000"/>
                <w:u w:color="000000"/>
              </w:rPr>
            </w:pPr>
            <w:r>
              <w:rPr>
                <w:sz w:val="24"/>
              </w:rPr>
              <w:t>100 %</w:t>
            </w:r>
          </w:p>
        </w:tc>
      </w:tr>
    </w:tbl>
    <w:p w14:paraId="6B69901A" w14:textId="77777777" w:rsidR="00A77B3E" w:rsidRDefault="00E50951">
      <w:pPr>
        <w:keepLines/>
        <w:spacing w:before="120" w:after="120"/>
        <w:ind w:firstLine="340"/>
        <w:rPr>
          <w:color w:val="000000"/>
          <w:u w:color="000000"/>
        </w:rPr>
      </w:pPr>
      <w:r>
        <w:rPr>
          <w:b/>
        </w:rPr>
        <w:t>§ 4. </w:t>
      </w:r>
      <w:r>
        <w:t>1. </w:t>
      </w:r>
      <w:r>
        <w:rPr>
          <w:color w:val="000000"/>
          <w:u w:color="000000"/>
        </w:rPr>
        <w:t>Opłata miesięczna za usługi opiekuńcze lub specjalistyczne usługi opiekuńcze dla osoby samotnie gospodarującej lub osoby w rodzinie, której dochód przekracza 300% odpowiedniego kryterium dochodowego, stanowi iloczyn liczby zrealizowanych godzin usług w danym miesiącu kalendarzowym oraz kwoty opłaty za jedną godzinę usługi i stawki procentowej odpłatności wynikającej z tabeli określonej w § 3 ust. 3.</w:t>
      </w:r>
    </w:p>
    <w:p w14:paraId="4BCA2D2E" w14:textId="77777777" w:rsidR="00A77B3E" w:rsidRDefault="00E50951">
      <w:pPr>
        <w:keepLines/>
        <w:spacing w:before="120" w:after="120"/>
        <w:ind w:firstLine="340"/>
        <w:rPr>
          <w:color w:val="000000"/>
          <w:u w:color="000000"/>
        </w:rPr>
      </w:pPr>
      <w:r>
        <w:t>2. </w:t>
      </w:r>
      <w:r>
        <w:rPr>
          <w:color w:val="000000"/>
          <w:u w:color="000000"/>
        </w:rPr>
        <w:t>Ustala się koszt jednej godziny usług w wysokości:</w:t>
      </w:r>
    </w:p>
    <w:p w14:paraId="263421BE" w14:textId="77777777" w:rsidR="00A77B3E" w:rsidRDefault="00E50951">
      <w:pPr>
        <w:spacing w:before="120" w:after="120"/>
        <w:ind w:left="340" w:hanging="227"/>
        <w:rPr>
          <w:color w:val="000000"/>
          <w:u w:color="000000"/>
        </w:rPr>
      </w:pPr>
      <w:r>
        <w:t>1) </w:t>
      </w:r>
      <w:r>
        <w:rPr>
          <w:color w:val="000000"/>
          <w:u w:color="000000"/>
        </w:rPr>
        <w:t>54,90 zł dla usług opiekuńczych;</w:t>
      </w:r>
    </w:p>
    <w:p w14:paraId="38FF3C4F" w14:textId="77777777" w:rsidR="00A77B3E" w:rsidRDefault="00E50951">
      <w:pPr>
        <w:spacing w:before="120" w:after="120"/>
        <w:ind w:left="340" w:hanging="227"/>
        <w:rPr>
          <w:color w:val="000000"/>
          <w:u w:color="000000"/>
        </w:rPr>
      </w:pPr>
      <w:r>
        <w:t>2) </w:t>
      </w:r>
      <w:r>
        <w:rPr>
          <w:color w:val="000000"/>
          <w:u w:color="000000"/>
        </w:rPr>
        <w:t>105,70 zł. dla specjalistycznych usług opiekuńczych.</w:t>
      </w:r>
    </w:p>
    <w:p w14:paraId="32B964B6" w14:textId="77777777" w:rsidR="00A77B3E" w:rsidRDefault="00E50951">
      <w:pPr>
        <w:keepLines/>
        <w:spacing w:before="120" w:after="120"/>
        <w:ind w:firstLine="340"/>
        <w:rPr>
          <w:color w:val="000000"/>
          <w:u w:color="000000"/>
        </w:rPr>
      </w:pPr>
      <w:r>
        <w:t>3. </w:t>
      </w:r>
      <w:r>
        <w:rPr>
          <w:color w:val="000000"/>
          <w:u w:color="000000"/>
        </w:rPr>
        <w:t xml:space="preserve">Osobom posiadającym znaczny stopień niepełnosprawności lub I grupę inwalidzką,  osobom po ukończeniu 80 roku życia, Członkom Korpusu Weteranów Walk o Niepodległość </w:t>
      </w:r>
      <w:r>
        <w:rPr>
          <w:color w:val="000000"/>
          <w:u w:color="000000"/>
        </w:rPr>
        <w:t>Rzeczypospolitej Polskiej, o których mowa w art. 6 ust. 2 ustawy z dnia 24 stycznia 1991 r. o kombatantach oraz niektórych osobach będących ofiarami represji wojennych i okresu powojennego, oraz działaczy opozycji antykomunistycznej i osoby represjonowane z powodów politycznych, o których mowa w ustawie z dnia 20 marca 2015 r. o działaczach opozycji antykomunistycznej oraz osobach represjonowanych z powodów politycznych, może zostać ustalona niższa odpłatność, jednak nie więcej niż o dwa przedziały dochodow</w:t>
      </w:r>
      <w:r>
        <w:rPr>
          <w:color w:val="000000"/>
          <w:u w:color="000000"/>
        </w:rPr>
        <w:t>e, o których mowa w tabeli określonej w § 3 ust. 3.</w:t>
      </w:r>
    </w:p>
    <w:p w14:paraId="0D5974EF" w14:textId="77777777" w:rsidR="00A77B3E" w:rsidRDefault="00E50951">
      <w:pPr>
        <w:keepLines/>
        <w:spacing w:before="120" w:after="120"/>
        <w:ind w:firstLine="340"/>
        <w:rPr>
          <w:color w:val="000000"/>
          <w:u w:color="000000"/>
        </w:rPr>
      </w:pPr>
      <w:r>
        <w:t>4. </w:t>
      </w:r>
      <w:r>
        <w:rPr>
          <w:color w:val="000000"/>
          <w:u w:color="000000"/>
        </w:rPr>
        <w:t>Częściowe zwolnienie z opłat przysługuje w przypadku wystąpienia:</w:t>
      </w:r>
    </w:p>
    <w:p w14:paraId="3BE7ADFF" w14:textId="77777777" w:rsidR="00A77B3E" w:rsidRDefault="00E50951">
      <w:pPr>
        <w:spacing w:before="120" w:after="120"/>
        <w:ind w:left="340" w:hanging="227"/>
        <w:rPr>
          <w:color w:val="000000"/>
          <w:u w:color="000000"/>
        </w:rPr>
      </w:pPr>
      <w:r>
        <w:t>1) </w:t>
      </w:r>
      <w:r>
        <w:rPr>
          <w:color w:val="000000"/>
          <w:u w:color="000000"/>
        </w:rPr>
        <w:t xml:space="preserve">niepełnosprawności, bezrobocia, długotrwałej lub ciężkiej choroby, przemocy w rodzinie, bezradności w sprawach </w:t>
      </w:r>
      <w:r>
        <w:rPr>
          <w:color w:val="000000"/>
          <w:u w:color="000000"/>
        </w:rPr>
        <w:t>prowadzenia gospodarstwa domowego, alkoholizmu lub narkomanii, zdarzenia losowego</w:t>
      </w:r>
      <w:r>
        <w:rPr>
          <w:color w:val="000000"/>
          <w:u w:color="000000"/>
        </w:rPr>
        <w:br/>
        <w:t>lub sytuacji kryzysowej, klęski żywiołowej lub ekologicznej, śmierci członka rodziny;</w:t>
      </w:r>
    </w:p>
    <w:p w14:paraId="420AD9D1" w14:textId="77777777" w:rsidR="00A77B3E" w:rsidRDefault="00E50951">
      <w:pPr>
        <w:spacing w:before="120" w:after="120"/>
        <w:ind w:left="340" w:hanging="227"/>
        <w:rPr>
          <w:color w:val="000000"/>
          <w:u w:color="000000"/>
        </w:rPr>
      </w:pPr>
      <w:r>
        <w:t>2) </w:t>
      </w:r>
      <w:r>
        <w:rPr>
          <w:color w:val="000000"/>
          <w:u w:color="000000"/>
        </w:rPr>
        <w:t>konieczności ponoszenia stałych, niezbędnych i uzasadnionych wydatków, których wysokość zagraża egzystencji osoby lub rodziny, związanych z potrzebami mieszkaniowymi, zakupem leków, artykułów higienicznych, pielęgnacyjnych, koniecznością rehabilitacji lub leczenia, stosowaniem specjalnej diety;</w:t>
      </w:r>
    </w:p>
    <w:p w14:paraId="3552FA06" w14:textId="77777777" w:rsidR="00A77B3E" w:rsidRDefault="00E50951">
      <w:pPr>
        <w:spacing w:before="120" w:after="120"/>
        <w:ind w:left="340" w:hanging="227"/>
        <w:rPr>
          <w:color w:val="000000"/>
          <w:u w:color="000000"/>
        </w:rPr>
      </w:pPr>
      <w:r>
        <w:t>3) </w:t>
      </w:r>
      <w:r>
        <w:rPr>
          <w:color w:val="000000"/>
          <w:u w:color="000000"/>
        </w:rPr>
        <w:t>konieczności zabezpieczenia osobie liczby godzin usług opiekuńczych, gdzie odpłatność za usługi spowoduje nadmierne obciążenie finansowe budżetu domowego osoby lub rodziny, co może zagrażać ich egzystencji.</w:t>
      </w:r>
    </w:p>
    <w:p w14:paraId="4B4E7C84" w14:textId="77777777" w:rsidR="00A77B3E" w:rsidRDefault="00E50951">
      <w:pPr>
        <w:keepLines/>
        <w:spacing w:before="120" w:after="120"/>
        <w:ind w:firstLine="340"/>
        <w:rPr>
          <w:color w:val="000000"/>
          <w:u w:color="000000"/>
        </w:rPr>
      </w:pPr>
      <w:r>
        <w:t>5. </w:t>
      </w:r>
      <w:r>
        <w:rPr>
          <w:color w:val="000000"/>
          <w:u w:color="000000"/>
        </w:rPr>
        <w:t>Całkowite zwolnienie z opłat przysługuje w przypadku:</w:t>
      </w:r>
    </w:p>
    <w:p w14:paraId="1D0BA09B" w14:textId="77777777" w:rsidR="00A77B3E" w:rsidRDefault="00E50951">
      <w:pPr>
        <w:spacing w:before="120" w:after="120"/>
        <w:ind w:left="340" w:hanging="227"/>
        <w:rPr>
          <w:color w:val="000000"/>
          <w:u w:color="000000"/>
        </w:rPr>
      </w:pPr>
      <w:r>
        <w:t>1) </w:t>
      </w:r>
      <w:r>
        <w:rPr>
          <w:color w:val="000000"/>
          <w:u w:color="000000"/>
        </w:rPr>
        <w:t>konieczności ponoszenia opłat za pobyt członka rodziny w domu pomocy społecznej, placówce leczniczo-rehabilitacyjnej, placówce opiekuńczo – wychowawczej, rodzinie zastępczej, ośrodku wsparcia lub w innej placówce;</w:t>
      </w:r>
    </w:p>
    <w:p w14:paraId="621D2D2D" w14:textId="77777777" w:rsidR="00A77B3E" w:rsidRDefault="00E50951">
      <w:pPr>
        <w:spacing w:before="120" w:after="120"/>
        <w:ind w:left="340" w:hanging="227"/>
        <w:rPr>
          <w:color w:val="000000"/>
          <w:u w:color="000000"/>
        </w:rPr>
      </w:pPr>
      <w:r>
        <w:t>2) </w:t>
      </w:r>
      <w:r>
        <w:rPr>
          <w:color w:val="000000"/>
          <w:u w:color="000000"/>
        </w:rPr>
        <w:t>objęcia świadczeniami z pomocy społecznej w formie usług opiekuńczych lub specjalistycznych usług opiekuńczych co najmniej dwóch osób w rodzinie;</w:t>
      </w:r>
    </w:p>
    <w:p w14:paraId="145B1382" w14:textId="77777777" w:rsidR="00A77B3E" w:rsidRDefault="00E50951">
      <w:pPr>
        <w:spacing w:before="120" w:after="120"/>
        <w:ind w:left="340" w:hanging="227"/>
        <w:rPr>
          <w:color w:val="000000"/>
          <w:u w:color="000000"/>
        </w:rPr>
      </w:pPr>
      <w:r>
        <w:t>3) </w:t>
      </w:r>
      <w:r>
        <w:rPr>
          <w:color w:val="000000"/>
          <w:u w:color="000000"/>
        </w:rPr>
        <w:t>konieczności korzystania co najmniej z dwóch rodzajów usług opiekuńczych;</w:t>
      </w:r>
    </w:p>
    <w:p w14:paraId="050814E2" w14:textId="77777777" w:rsidR="00A77B3E" w:rsidRDefault="00E50951">
      <w:pPr>
        <w:spacing w:before="120" w:after="120"/>
        <w:ind w:left="340" w:hanging="227"/>
        <w:rPr>
          <w:color w:val="000000"/>
          <w:u w:color="000000"/>
        </w:rPr>
      </w:pPr>
      <w:r>
        <w:t>4) </w:t>
      </w:r>
      <w:r>
        <w:rPr>
          <w:color w:val="000000"/>
          <w:u w:color="000000"/>
        </w:rPr>
        <w:t>strat materialnych powstałych w wyniku zdarzenia losowego lub klęski żywiołowej;</w:t>
      </w:r>
    </w:p>
    <w:p w14:paraId="2215CD7D" w14:textId="77777777" w:rsidR="00A77B3E" w:rsidRDefault="00E50951">
      <w:pPr>
        <w:spacing w:before="120" w:after="120"/>
        <w:ind w:left="340" w:hanging="227"/>
        <w:rPr>
          <w:color w:val="000000"/>
          <w:u w:color="000000"/>
        </w:rPr>
      </w:pPr>
      <w:r>
        <w:t>5) </w:t>
      </w:r>
      <w:r>
        <w:rPr>
          <w:color w:val="000000"/>
          <w:u w:color="000000"/>
        </w:rPr>
        <w:t>ukończenia przez świadczeniobiorcę 90 roku życia.</w:t>
      </w:r>
    </w:p>
    <w:p w14:paraId="3978EE68" w14:textId="77777777" w:rsidR="00A77B3E" w:rsidRDefault="00E50951">
      <w:pPr>
        <w:keepLines/>
        <w:spacing w:before="120" w:after="120"/>
        <w:ind w:firstLine="340"/>
        <w:rPr>
          <w:color w:val="000000"/>
          <w:u w:color="000000"/>
        </w:rPr>
      </w:pPr>
      <w:r>
        <w:rPr>
          <w:b/>
        </w:rPr>
        <w:t>§ 5. </w:t>
      </w:r>
      <w:r>
        <w:t>1. </w:t>
      </w:r>
      <w:r>
        <w:rPr>
          <w:color w:val="000000"/>
          <w:u w:color="000000"/>
        </w:rPr>
        <w:t>Opłata miesięczna za usługi opiekuńcze i specjalistyczne usługi opiekuńcze wnoszona jest na rachunek bankowy Miejsko-Gminnego Ośrodka Pomocy Społecznej w Gostyniu.</w:t>
      </w:r>
    </w:p>
    <w:p w14:paraId="6F5ED5E2" w14:textId="77777777" w:rsidR="00A77B3E" w:rsidRDefault="00E50951">
      <w:pPr>
        <w:keepLines/>
        <w:spacing w:before="120" w:after="120"/>
        <w:ind w:firstLine="340"/>
        <w:rPr>
          <w:color w:val="000000"/>
          <w:u w:color="000000"/>
        </w:rPr>
      </w:pPr>
      <w:r>
        <w:t>2. </w:t>
      </w:r>
      <w:r>
        <w:rPr>
          <w:color w:val="000000"/>
          <w:u w:color="000000"/>
        </w:rPr>
        <w:t>Świadczenie usług opiekuńczych w formie usług sąsiedzkich będzie rozliczane w kolejnym miesiącu kalendarzowym po wykonaniu usługi na podstawie protokołu wykonania usług wraz z indywidualnymi kartami pracy uwzględniającymi miejsce, termin i ilość zrealizowanych usług.</w:t>
      </w:r>
    </w:p>
    <w:p w14:paraId="24403198" w14:textId="77777777" w:rsidR="00A77B3E" w:rsidRDefault="00E50951">
      <w:pPr>
        <w:keepLines/>
        <w:spacing w:before="120" w:after="120"/>
        <w:ind w:firstLine="340"/>
        <w:rPr>
          <w:color w:val="000000"/>
          <w:u w:color="000000"/>
        </w:rPr>
      </w:pPr>
      <w:r>
        <w:rPr>
          <w:b/>
        </w:rPr>
        <w:t>§ 6. </w:t>
      </w:r>
      <w:r>
        <w:rPr>
          <w:color w:val="000000"/>
          <w:u w:color="000000"/>
        </w:rPr>
        <w:t>Wykonanie uchwały powierza się Burmistrzowi Gostynia.</w:t>
      </w:r>
    </w:p>
    <w:p w14:paraId="4DBB5CAD" w14:textId="77777777" w:rsidR="00A77B3E" w:rsidRDefault="00E50951">
      <w:pPr>
        <w:keepLines/>
        <w:spacing w:before="120" w:after="120"/>
        <w:ind w:firstLine="340"/>
        <w:rPr>
          <w:color w:val="000000"/>
          <w:u w:color="000000"/>
        </w:rPr>
      </w:pPr>
      <w:r>
        <w:rPr>
          <w:b/>
        </w:rPr>
        <w:t>§ 7. </w:t>
      </w:r>
      <w:r>
        <w:rPr>
          <w:color w:val="000000"/>
          <w:u w:color="000000"/>
        </w:rPr>
        <w:t>Traci moc uchwała nr XLIX/565/23 Rady Miejskiej w Gostyniu z dnia 9 marca 2023 roku w sprawie zasad przyznawania i ustalenia odpłatności za usługi opiekuńcze i specjalistyczne usługi opiekuńcze realizowane w ramach zadań własnych gminy.</w:t>
      </w:r>
    </w:p>
    <w:p w14:paraId="27DF2520" w14:textId="77777777" w:rsidR="00A77B3E" w:rsidRDefault="00E50951">
      <w:pPr>
        <w:keepNext/>
        <w:keepLines/>
        <w:spacing w:before="120" w:after="120"/>
        <w:ind w:firstLine="340"/>
        <w:rPr>
          <w:color w:val="000000"/>
          <w:u w:color="000000"/>
        </w:rPr>
      </w:pPr>
      <w:r>
        <w:rPr>
          <w:b/>
        </w:rPr>
        <w:lastRenderedPageBreak/>
        <w:t>§ 8. </w:t>
      </w:r>
      <w:r>
        <w:rPr>
          <w:color w:val="000000"/>
          <w:u w:color="000000"/>
        </w:rPr>
        <w:t>Uchwała podlega ogłoszeniu w Dzienniku Urzędowym Województwa Wielkopolskiego i wchodzi w życie z dniem 1 lipca 2024 r.</w:t>
      </w:r>
    </w:p>
    <w:p w14:paraId="36A01305" w14:textId="77777777" w:rsidR="00A77B3E" w:rsidRDefault="00E50951">
      <w:pPr>
        <w:keepNext/>
        <w:keepLines/>
        <w:spacing w:before="120" w:after="120"/>
        <w:ind w:firstLine="227"/>
        <w:rPr>
          <w:color w:val="000000"/>
          <w:u w:color="000000"/>
        </w:rPr>
      </w:pPr>
      <w:r>
        <w:rPr>
          <w:color w:val="000000"/>
          <w:u w:color="000000"/>
        </w:rPr>
        <w:t>  </w:t>
      </w:r>
    </w:p>
    <w:p w14:paraId="36066ADA" w14:textId="77777777" w:rsidR="00A77B3E" w:rsidRDefault="00E50951">
      <w:pPr>
        <w:keepNext/>
        <w:rPr>
          <w:color w:val="000000"/>
          <w:u w:color="000000"/>
        </w:rPr>
      </w:pPr>
      <w:r>
        <w:rPr>
          <w:color w:val="000000"/>
        </w:rPr>
        <w:t> </w:t>
      </w:r>
    </w:p>
    <w:tbl>
      <w:tblPr>
        <w:tblW w:w="5000" w:type="pct"/>
        <w:tblCellMar>
          <w:left w:w="0" w:type="dxa"/>
          <w:right w:w="0" w:type="dxa"/>
        </w:tblCellMar>
        <w:tblLook w:val="04A0" w:firstRow="1" w:lastRow="0" w:firstColumn="1" w:lastColumn="0" w:noHBand="0" w:noVBand="1"/>
      </w:tblPr>
      <w:tblGrid>
        <w:gridCol w:w="5103"/>
        <w:gridCol w:w="5103"/>
      </w:tblGrid>
      <w:tr w:rsidR="00344A2F" w14:paraId="2389D3E1" w14:textId="77777777">
        <w:tc>
          <w:tcPr>
            <w:tcW w:w="2500" w:type="pct"/>
            <w:tcMar>
              <w:top w:w="0" w:type="dxa"/>
              <w:left w:w="0" w:type="dxa"/>
              <w:bottom w:w="0" w:type="dxa"/>
              <w:right w:w="0" w:type="dxa"/>
            </w:tcMar>
            <w:hideMark/>
          </w:tcPr>
          <w:p w14:paraId="2F3E0457" w14:textId="77777777" w:rsidR="00344A2F" w:rsidRDefault="00344A2F">
            <w:pPr>
              <w:keepNext/>
              <w:keepLines/>
              <w:jc w:val="left"/>
              <w:rPr>
                <w:color w:val="000000"/>
                <w:szCs w:val="22"/>
              </w:rPr>
            </w:pPr>
          </w:p>
        </w:tc>
        <w:tc>
          <w:tcPr>
            <w:tcW w:w="2500" w:type="pct"/>
            <w:tcMar>
              <w:top w:w="0" w:type="dxa"/>
              <w:left w:w="0" w:type="dxa"/>
              <w:bottom w:w="0" w:type="dxa"/>
              <w:right w:w="0" w:type="dxa"/>
            </w:tcMar>
            <w:hideMark/>
          </w:tcPr>
          <w:p w14:paraId="79393A98" w14:textId="77777777" w:rsidR="00344A2F" w:rsidRDefault="00E50951">
            <w:pPr>
              <w:keepNext/>
              <w:keepLines/>
              <w:spacing w:before="560" w:after="560"/>
              <w:ind w:left="1134" w:right="1134"/>
              <w:jc w:val="center"/>
              <w:rPr>
                <w:color w:val="000000"/>
                <w:szCs w:val="22"/>
              </w:rPr>
            </w:pPr>
            <w:r>
              <w:rPr>
                <w:color w:val="000000"/>
                <w:szCs w:val="22"/>
              </w:rPr>
              <w:t>Przewodniczący Rady Miejskiej</w:t>
            </w:r>
            <w:r>
              <w:rPr>
                <w:color w:val="000000"/>
                <w:szCs w:val="22"/>
              </w:rPr>
              <w:br/>
            </w:r>
            <w:r>
              <w:rPr>
                <w:color w:val="000000"/>
                <w:szCs w:val="22"/>
              </w:rPr>
              <w:br/>
            </w:r>
            <w:r>
              <w:rPr>
                <w:color w:val="000000"/>
                <w:szCs w:val="22"/>
              </w:rPr>
              <w:br/>
            </w:r>
            <w:r>
              <w:rPr>
                <w:b/>
              </w:rPr>
              <w:t>Maciej Czajka</w:t>
            </w:r>
          </w:p>
        </w:tc>
      </w:tr>
    </w:tbl>
    <w:p w14:paraId="79921F8C" w14:textId="77777777" w:rsidR="00A77B3E" w:rsidRDefault="00A77B3E">
      <w:pPr>
        <w:keepNext/>
        <w:rPr>
          <w:color w:val="000000"/>
          <w:u w:color="000000"/>
        </w:rPr>
        <w:sectPr w:rsidR="00A77B3E">
          <w:footerReference w:type="default" r:id="rId6"/>
          <w:endnotePr>
            <w:numFmt w:val="decimal"/>
          </w:endnotePr>
          <w:pgSz w:w="11906" w:h="16838"/>
          <w:pgMar w:top="850" w:right="850" w:bottom="1417" w:left="850" w:header="708" w:footer="708" w:gutter="0"/>
          <w:cols w:space="708"/>
          <w:docGrid w:linePitch="360"/>
        </w:sectPr>
      </w:pPr>
    </w:p>
    <w:p w14:paraId="75D142A1" w14:textId="77777777" w:rsidR="00344A2F" w:rsidRDefault="00344A2F">
      <w:pPr>
        <w:rPr>
          <w:szCs w:val="20"/>
        </w:rPr>
      </w:pPr>
    </w:p>
    <w:p w14:paraId="77F61598" w14:textId="77777777" w:rsidR="00344A2F" w:rsidRDefault="00E50951">
      <w:pPr>
        <w:jc w:val="center"/>
        <w:rPr>
          <w:szCs w:val="20"/>
        </w:rPr>
      </w:pPr>
      <w:r>
        <w:rPr>
          <w:b/>
          <w:szCs w:val="20"/>
        </w:rPr>
        <w:t>Uzasadnienie</w:t>
      </w:r>
    </w:p>
    <w:p w14:paraId="36A752D8" w14:textId="77777777" w:rsidR="00344A2F" w:rsidRDefault="00E50951">
      <w:pPr>
        <w:spacing w:before="120" w:after="120"/>
        <w:ind w:firstLine="227"/>
        <w:jc w:val="center"/>
        <w:rPr>
          <w:szCs w:val="20"/>
        </w:rPr>
      </w:pPr>
      <w:r>
        <w:rPr>
          <w:szCs w:val="20"/>
        </w:rPr>
        <w:t>do Uchwały nr III/26/24</w:t>
      </w:r>
      <w:r>
        <w:rPr>
          <w:szCs w:val="20"/>
        </w:rPr>
        <w:br/>
        <w:t>Rady Miejskiej w Gostyniu</w:t>
      </w:r>
      <w:r>
        <w:rPr>
          <w:szCs w:val="20"/>
        </w:rPr>
        <w:br/>
        <w:t>z dnia 20 czerwca 2024 roku</w:t>
      </w:r>
    </w:p>
    <w:p w14:paraId="4C21EE3A" w14:textId="77777777" w:rsidR="00344A2F" w:rsidRDefault="00E50951">
      <w:pPr>
        <w:spacing w:before="120" w:after="120"/>
        <w:ind w:firstLine="227"/>
        <w:jc w:val="center"/>
        <w:rPr>
          <w:color w:val="000000"/>
          <w:szCs w:val="20"/>
          <w:u w:color="000000"/>
        </w:rPr>
      </w:pPr>
      <w:r>
        <w:rPr>
          <w:b/>
          <w:szCs w:val="20"/>
        </w:rPr>
        <w:t xml:space="preserve">w sprawie szczegółowych warunków przyznawania i odpłatności za usługi </w:t>
      </w:r>
      <w:r>
        <w:rPr>
          <w:b/>
          <w:szCs w:val="20"/>
        </w:rPr>
        <w:t>opiekuńcze i specjalistyczne usługi opiekuńcze realizowane, z wyłączeniem specjalistycznych usług opiekuńczych dla osób z zaburzeniami psychicznymi, oraz szczegółowe warunki częściowego lub całkowitego zwolnienia z opłat, jak również tryb ich pobierania, a także szczegółowych warunków przyznawania usług sąsiedzkich, wymiaru i zakresu usług sąsiedzkich oraz sposobu rozliczania wykonywania takich usług.</w:t>
      </w:r>
    </w:p>
    <w:p w14:paraId="4CBD0508" w14:textId="77777777" w:rsidR="00344A2F" w:rsidRDefault="00E50951">
      <w:pPr>
        <w:spacing w:before="120" w:after="120"/>
        <w:ind w:firstLine="227"/>
        <w:jc w:val="left"/>
        <w:rPr>
          <w:color w:val="000000"/>
          <w:szCs w:val="20"/>
          <w:u w:color="000000"/>
        </w:rPr>
      </w:pPr>
      <w:r>
        <w:rPr>
          <w:color w:val="000000"/>
          <w:szCs w:val="20"/>
          <w:u w:color="000000"/>
        </w:rPr>
        <w:t>Organizowanie i świadczenie usług opiekuńczych w tym specjalistycznych usług opiekuńczych w miejscu zamieszkania jest zadaniem własnym gminy o charakterze obowiązkowym.</w:t>
      </w:r>
    </w:p>
    <w:p w14:paraId="0A76D535" w14:textId="77777777" w:rsidR="00344A2F" w:rsidRDefault="00E50951">
      <w:pPr>
        <w:spacing w:before="120" w:after="120"/>
        <w:ind w:firstLine="227"/>
        <w:jc w:val="left"/>
        <w:rPr>
          <w:color w:val="000000"/>
          <w:szCs w:val="20"/>
          <w:u w:color="000000"/>
        </w:rPr>
      </w:pPr>
      <w:r>
        <w:rPr>
          <w:color w:val="000000"/>
          <w:szCs w:val="20"/>
          <w:u w:color="000000"/>
        </w:rPr>
        <w:t>Pomoc w formie usług opiekuńczych stanowi pewną alternatywę i pomaga utrzymać w środowisku lokalnym osoby starsze lub chore, aby nie musiały korzystać z domów pomocy społecznej. Wsparcie osób i rodzin w ich rodzinnym środowisku jest najbardziej wskazaną formą środowiskowych usług społecznych, zarówno pod kątem relacyjnym, ale także ekonomicznym.</w:t>
      </w:r>
    </w:p>
    <w:p w14:paraId="0BDE08CE" w14:textId="77777777" w:rsidR="00344A2F" w:rsidRDefault="00E50951">
      <w:pPr>
        <w:spacing w:before="120" w:after="120"/>
        <w:ind w:firstLine="227"/>
        <w:jc w:val="left"/>
        <w:rPr>
          <w:color w:val="000000"/>
          <w:szCs w:val="20"/>
          <w:u w:color="000000"/>
        </w:rPr>
      </w:pPr>
      <w:r>
        <w:rPr>
          <w:color w:val="000000"/>
          <w:szCs w:val="20"/>
          <w:u w:color="000000"/>
        </w:rPr>
        <w:t>Ustawodawca zobowiązał radę gminy do określenia, w drodze uchwały, szczegółowych warunków przyznawania i odpłatności za usługi opiekuńcze i specjalistyczne usługi opiekuńcze, z wyłączeniem specjalistycznych usług opiekuńczych dla osób z zaburzeniami psychicznymi, oraz szczegółowych warunków częściowego lub całkowitego zwolnienia od opłat, jak również trybu ich pobierania.</w:t>
      </w:r>
    </w:p>
    <w:p w14:paraId="6004834D" w14:textId="77777777" w:rsidR="00344A2F" w:rsidRDefault="00E50951">
      <w:pPr>
        <w:spacing w:before="120" w:after="120"/>
        <w:ind w:firstLine="227"/>
        <w:jc w:val="left"/>
        <w:rPr>
          <w:color w:val="000000"/>
          <w:szCs w:val="20"/>
          <w:u w:color="000000"/>
        </w:rPr>
      </w:pPr>
      <w:r>
        <w:rPr>
          <w:color w:val="000000"/>
          <w:szCs w:val="20"/>
          <w:u w:color="000000"/>
        </w:rPr>
        <w:t>Nowelizacja ustawy o pomocy społecznej wprowadziła nowe zadanie dla gmin jakim jest organizowanie świadczenie usług opiekuńczych w formie usług sąsiedzkich. Usługi sąsiedzkie obejmują pomoc w zaspokajaniu podstawowych potrzeb życiowych, podstawową opiekę higieniczno-pielęgnacyjną, przez którą należy rozumieć formy wsparcia niewymagające specjalistycznej wiedzy i kompetencji, oraz, w miarę potrzeb i możliwości, zapewnienie kontaktów z otoczeniem. Organizatorem usług sąsiedzkich jest gmina właściwa ze względu</w:t>
      </w:r>
      <w:r>
        <w:rPr>
          <w:color w:val="000000"/>
          <w:szCs w:val="20"/>
          <w:u w:color="000000"/>
        </w:rPr>
        <w:t xml:space="preserve"> na miejsce zamieszkania osoby korzystającej z usług sąsiedzkich lub podmiot uprawniony. Osobą wykonującą usługi sąsiedzkie może być osoba, która jest pełnoletnia, nie jest członkiem rodziny osoby, na rzecz której są świadczone usługi sąsiedzkie, nie jest oddzielnie zamieszkującym małżonkiem, wstępnym ani zstępnym osoby, na rzecz której są świadczone usługi sąsiedzkie, złożyła organizatorowi usług sąsiedzkich oświadczenie o zdolności pod względem psychofizycznym do świadczenia takich usług, zamieszkuje w na</w:t>
      </w:r>
      <w:r>
        <w:rPr>
          <w:color w:val="000000"/>
          <w:szCs w:val="20"/>
          <w:u w:color="000000"/>
        </w:rPr>
        <w:t>jbliższej okolicy osoby, na rzecz której są świadczone usługi sąsiedzkie, ukończyła szkolenie z zakresu udzielania pierwszej pomocy, została zaakceptowana przez osobę, na rzecz której są świadczone usługi sąsiedzkie, została zaakceptowana przez organizatora usług sąsiedzkich.</w:t>
      </w:r>
    </w:p>
    <w:p w14:paraId="282E1138" w14:textId="77777777" w:rsidR="00344A2F" w:rsidRDefault="00E50951">
      <w:pPr>
        <w:spacing w:before="120" w:after="120"/>
        <w:ind w:firstLine="227"/>
        <w:jc w:val="left"/>
        <w:rPr>
          <w:color w:val="000000"/>
          <w:szCs w:val="20"/>
          <w:u w:color="000000"/>
        </w:rPr>
      </w:pPr>
      <w:r>
        <w:rPr>
          <w:color w:val="000000"/>
          <w:szCs w:val="20"/>
          <w:u w:color="000000"/>
        </w:rPr>
        <w:t>W projekcie uchwały uwzględniono, iż usługi sąsiedzkie są bezpłatne dla mieszkańców. To nowe zadanie i przewidujemy, że w roku 2024 skorzysta z tej formy nie więcej niż 10 osób. Ponadto usługi sąsiedzkie będę dofinansowane z budżetu Państwa w ramach Programu „Korpus Wsparcia Seniora”.</w:t>
      </w:r>
    </w:p>
    <w:p w14:paraId="0A574892" w14:textId="77777777" w:rsidR="00344A2F" w:rsidRDefault="00E50951">
      <w:pPr>
        <w:spacing w:before="120" w:after="120"/>
        <w:ind w:firstLine="227"/>
        <w:jc w:val="left"/>
        <w:rPr>
          <w:color w:val="000000"/>
          <w:szCs w:val="20"/>
          <w:u w:color="000000"/>
        </w:rPr>
      </w:pPr>
      <w:r>
        <w:rPr>
          <w:color w:val="000000"/>
          <w:szCs w:val="20"/>
          <w:u w:color="000000"/>
        </w:rPr>
        <w:t>Uchwała zaliczana jest do aktów prawa miejscowego i wchodzi w życie z dniem 1 lipca 2024 r. Do 30 czerwca 2024 r. przyznane były specjalistyczne usługi opiekuńcze dla mieszkańców gminy Gostyń z uwagi na wysokość planu finansowego, który był  podyktowany przekazywaniem środków przez Wojewodę Wielkopolskiego w dwóch transzach za I półrocze i następnie za II półrocze. Dalszą konsekwencją tego było rozstrzygnięcie konkursowe wyboru oferenta realizującego usługę w gminie Gostyń z terminem realizacji od 1 styczni</w:t>
      </w:r>
      <w:r>
        <w:rPr>
          <w:color w:val="000000"/>
          <w:szCs w:val="20"/>
          <w:u w:color="000000"/>
        </w:rPr>
        <w:t>a do 30 czerwca 2024 r. Obecnie oczekujemy na rozstrzygnięcie kolejnego konkursu, który przewiduje realizację usługi od 1 lipca do 31 grudnia 2024 r. Stąd zasadnym jest kontynuacja usług dla osób</w:t>
      </w:r>
      <w:r>
        <w:rPr>
          <w:color w:val="000000"/>
          <w:szCs w:val="20"/>
          <w:u w:color="000000"/>
        </w:rPr>
        <w:br/>
        <w:t>z niepełnosprawnościami od 1 lipca 2024 r.</w:t>
      </w:r>
    </w:p>
    <w:p w14:paraId="5187B77E" w14:textId="77777777" w:rsidR="00344A2F" w:rsidRDefault="00E50951">
      <w:pPr>
        <w:keepNext/>
        <w:keepLines/>
        <w:spacing w:before="120" w:after="120"/>
        <w:ind w:firstLine="227"/>
        <w:jc w:val="left"/>
        <w:rPr>
          <w:color w:val="000000"/>
          <w:szCs w:val="20"/>
          <w:u w:color="000000"/>
        </w:rPr>
      </w:pPr>
      <w:r>
        <w:rPr>
          <w:color w:val="000000"/>
          <w:szCs w:val="20"/>
          <w:u w:color="000000"/>
        </w:rPr>
        <w:t>Wobec powyższego podjęcie stosownej uchwały jest uzasadnione.</w:t>
      </w:r>
    </w:p>
    <w:p w14:paraId="5E974E4A" w14:textId="77777777" w:rsidR="00344A2F" w:rsidRDefault="00E50951">
      <w:pPr>
        <w:keepNext/>
        <w:rPr>
          <w:color w:val="000000"/>
          <w:szCs w:val="20"/>
          <w:u w:color="000000"/>
        </w:rPr>
      </w:pPr>
      <w:r>
        <w:rPr>
          <w:color w:val="000000"/>
          <w:szCs w:val="20"/>
        </w:rPr>
        <w:t> </w:t>
      </w:r>
    </w:p>
    <w:tbl>
      <w:tblPr>
        <w:tblW w:w="5000" w:type="pct"/>
        <w:tblLayout w:type="fixed"/>
        <w:tblCellMar>
          <w:left w:w="0" w:type="dxa"/>
          <w:right w:w="0" w:type="dxa"/>
        </w:tblCellMar>
        <w:tblLook w:val="04A0" w:firstRow="1" w:lastRow="0" w:firstColumn="1" w:lastColumn="0" w:noHBand="0" w:noVBand="1"/>
      </w:tblPr>
      <w:tblGrid>
        <w:gridCol w:w="5103"/>
        <w:gridCol w:w="5103"/>
      </w:tblGrid>
      <w:tr w:rsidR="00344A2F" w14:paraId="4365F4D1" w14:textId="77777777">
        <w:tc>
          <w:tcPr>
            <w:tcW w:w="5100" w:type="dxa"/>
            <w:tcMar>
              <w:top w:w="0" w:type="dxa"/>
              <w:left w:w="0" w:type="dxa"/>
              <w:bottom w:w="0" w:type="dxa"/>
              <w:right w:w="0" w:type="dxa"/>
            </w:tcMar>
            <w:hideMark/>
          </w:tcPr>
          <w:p w14:paraId="6DA34DD6" w14:textId="77777777" w:rsidR="00344A2F" w:rsidRDefault="00344A2F">
            <w:pPr>
              <w:jc w:val="left"/>
              <w:rPr>
                <w:color w:val="000000"/>
                <w:szCs w:val="20"/>
              </w:rPr>
            </w:pPr>
          </w:p>
        </w:tc>
        <w:tc>
          <w:tcPr>
            <w:tcW w:w="5100" w:type="dxa"/>
            <w:tcMar>
              <w:top w:w="0" w:type="dxa"/>
              <w:left w:w="0" w:type="dxa"/>
              <w:bottom w:w="0" w:type="dxa"/>
              <w:right w:w="0" w:type="dxa"/>
            </w:tcMar>
            <w:hideMark/>
          </w:tcPr>
          <w:p w14:paraId="2CEE0C98" w14:textId="77777777" w:rsidR="00344A2F" w:rsidRDefault="00E50951">
            <w:pPr>
              <w:keepNext/>
              <w:keepLines/>
              <w:spacing w:before="560" w:after="560"/>
              <w:ind w:left="1134" w:right="1134"/>
              <w:jc w:val="center"/>
              <w:rPr>
                <w:b/>
                <w:color w:val="000000"/>
                <w:szCs w:val="20"/>
              </w:rPr>
            </w:pPr>
            <w:r>
              <w:rPr>
                <w:color w:val="000000"/>
                <w:szCs w:val="20"/>
              </w:rPr>
              <w:fldChar w:fldCharType="begin"/>
            </w:r>
            <w:r>
              <w:rPr>
                <w:color w:val="000000"/>
                <w:szCs w:val="20"/>
              </w:rPr>
              <w:instrText>MERGEFIELD SIGNATURE_0_0__FUNCTION \* MERGEFORMAT</w:instrText>
            </w:r>
            <w:r>
              <w:rPr>
                <w:color w:val="000000"/>
                <w:szCs w:val="20"/>
              </w:rPr>
              <w:fldChar w:fldCharType="separate"/>
            </w:r>
            <w:r>
              <w:rPr>
                <w:color w:val="000000"/>
                <w:szCs w:val="20"/>
              </w:rPr>
              <w:t>Przewodniczący Rady Miejskiej</w:t>
            </w:r>
            <w:r>
              <w:rPr>
                <w:color w:val="000000"/>
                <w:szCs w:val="20"/>
              </w:rPr>
              <w:fldChar w:fldCharType="end"/>
            </w:r>
            <w:r>
              <w:rPr>
                <w:color w:val="000000"/>
                <w:szCs w:val="20"/>
              </w:rPr>
              <w:br/>
            </w:r>
            <w:r>
              <w:rPr>
                <w:color w:val="000000"/>
                <w:szCs w:val="20"/>
              </w:rPr>
              <w:br/>
            </w:r>
            <w:r>
              <w:rPr>
                <w:color w:val="000000"/>
                <w:szCs w:val="20"/>
              </w:rPr>
              <w:br/>
            </w:r>
            <w:r>
              <w:rPr>
                <w:b/>
                <w:color w:val="000000"/>
                <w:szCs w:val="20"/>
              </w:rPr>
              <w:lastRenderedPageBreak/>
              <w:fldChar w:fldCharType="begin"/>
            </w:r>
            <w:r>
              <w:rPr>
                <w:b/>
                <w:color w:val="000000"/>
                <w:szCs w:val="20"/>
              </w:rPr>
              <w:instrText xml:space="preserve">MERGEFIELD </w:instrText>
            </w:r>
            <w:r>
              <w:rPr>
                <w:b/>
                <w:color w:val="000000"/>
                <w:szCs w:val="20"/>
              </w:rPr>
              <w:instrText>SIGNATURE_0_0_FIRSTNAME \* MERGEFORMAT</w:instrText>
            </w:r>
            <w:r>
              <w:rPr>
                <w:b/>
                <w:color w:val="000000"/>
                <w:szCs w:val="20"/>
              </w:rPr>
              <w:fldChar w:fldCharType="separate"/>
            </w:r>
            <w:r>
              <w:rPr>
                <w:b/>
                <w:color w:val="000000"/>
                <w:szCs w:val="20"/>
              </w:rPr>
              <w:t>Maciej</w:t>
            </w:r>
            <w:r>
              <w:rPr>
                <w:b/>
                <w:color w:val="000000"/>
                <w:szCs w:val="20"/>
              </w:rPr>
              <w:fldChar w:fldCharType="end"/>
            </w:r>
            <w:r>
              <w:rPr>
                <w:b/>
                <w:color w:val="000000"/>
                <w:szCs w:val="20"/>
              </w:rPr>
              <w:t> </w:t>
            </w:r>
            <w:r>
              <w:rPr>
                <w:b/>
                <w:color w:val="000000"/>
                <w:szCs w:val="20"/>
              </w:rPr>
              <w:fldChar w:fldCharType="begin"/>
            </w:r>
            <w:r>
              <w:rPr>
                <w:b/>
                <w:color w:val="000000"/>
                <w:szCs w:val="20"/>
              </w:rPr>
              <w:instrText>MERGEFIELD SIGNATURE_0_0_LASTNAME \* MERGEFORMAT</w:instrText>
            </w:r>
            <w:r>
              <w:rPr>
                <w:b/>
                <w:color w:val="000000"/>
                <w:szCs w:val="20"/>
              </w:rPr>
              <w:fldChar w:fldCharType="separate"/>
            </w:r>
            <w:r>
              <w:rPr>
                <w:b/>
                <w:color w:val="000000"/>
                <w:szCs w:val="20"/>
              </w:rPr>
              <w:t>Czajka</w:t>
            </w:r>
            <w:r>
              <w:rPr>
                <w:b/>
                <w:color w:val="000000"/>
                <w:szCs w:val="20"/>
              </w:rPr>
              <w:fldChar w:fldCharType="end"/>
            </w:r>
            <w:r>
              <w:rPr>
                <w:b/>
                <w:color w:val="000000"/>
                <w:szCs w:val="20"/>
              </w:rPr>
              <w:t> </w:t>
            </w:r>
          </w:p>
        </w:tc>
      </w:tr>
    </w:tbl>
    <w:p w14:paraId="396DC859" w14:textId="77777777" w:rsidR="00344A2F" w:rsidRDefault="00344A2F">
      <w:pPr>
        <w:keepNext/>
        <w:rPr>
          <w:color w:val="000000"/>
          <w:szCs w:val="20"/>
          <w:u w:color="000000"/>
        </w:rPr>
      </w:pPr>
    </w:p>
    <w:sectPr w:rsidR="00344A2F">
      <w:footerReference w:type="default" r:id="rId7"/>
      <w:endnotePr>
        <w:numFmt w:val="decimal"/>
      </w:endnotePr>
      <w:pgSz w:w="11906" w:h="16838"/>
      <w:pgMar w:top="850" w:right="850" w:bottom="1417" w:left="85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294319" w14:textId="77777777" w:rsidR="00E50951" w:rsidRDefault="00E50951">
      <w:r>
        <w:separator/>
      </w:r>
    </w:p>
  </w:endnote>
  <w:endnote w:type="continuationSeparator" w:id="0">
    <w:p w14:paraId="3E9EF0B5" w14:textId="77777777" w:rsidR="00E50951" w:rsidRDefault="00E50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344A2F" w14:paraId="5AEA91CC" w14:textId="77777777">
      <w:tc>
        <w:tcPr>
          <w:tcW w:w="6804" w:type="dxa"/>
          <w:tcBorders>
            <w:top w:val="nil"/>
            <w:left w:val="nil"/>
            <w:bottom w:val="nil"/>
            <w:right w:val="nil"/>
          </w:tcBorders>
          <w:tcMar>
            <w:top w:w="100" w:type="dxa"/>
            <w:left w:w="0" w:type="dxa"/>
            <w:bottom w:w="0" w:type="dxa"/>
            <w:right w:w="0" w:type="dxa"/>
          </w:tcMar>
          <w:hideMark/>
        </w:tcPr>
        <w:p w14:paraId="7669229E" w14:textId="77777777" w:rsidR="00344A2F" w:rsidRDefault="00E50951">
          <w:pPr>
            <w:jc w:val="left"/>
            <w:rPr>
              <w:sz w:val="18"/>
            </w:rPr>
          </w:pPr>
          <w:r>
            <w:rPr>
              <w:sz w:val="18"/>
            </w:rPr>
            <w:t xml:space="preserve">Id: </w:t>
          </w:r>
          <w:r>
            <w:rPr>
              <w:sz w:val="18"/>
            </w:rPr>
            <w:t>7BB091C3-CF3B-472B-A9D9-9BEBB8B42D1A. Podpisany</w:t>
          </w:r>
        </w:p>
      </w:tc>
      <w:tc>
        <w:tcPr>
          <w:tcW w:w="3402" w:type="dxa"/>
          <w:tcBorders>
            <w:top w:val="nil"/>
            <w:left w:val="nil"/>
            <w:bottom w:val="nil"/>
            <w:right w:val="nil"/>
          </w:tcBorders>
          <w:tcMar>
            <w:top w:w="100" w:type="dxa"/>
            <w:left w:w="0" w:type="dxa"/>
            <w:bottom w:w="0" w:type="dxa"/>
            <w:right w:w="0" w:type="dxa"/>
          </w:tcMar>
          <w:hideMark/>
        </w:tcPr>
        <w:p w14:paraId="3A61F46B" w14:textId="77777777" w:rsidR="00344A2F" w:rsidRDefault="00E50951">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1</w:t>
          </w:r>
          <w:r>
            <w:rPr>
              <w:sz w:val="18"/>
            </w:rPr>
            <w:fldChar w:fldCharType="end"/>
          </w:r>
        </w:p>
      </w:tc>
    </w:tr>
  </w:tbl>
  <w:p w14:paraId="73E832A5" w14:textId="77777777" w:rsidR="00344A2F" w:rsidRDefault="00344A2F">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344A2F" w14:paraId="52816B8A" w14:textId="77777777">
      <w:tc>
        <w:tcPr>
          <w:tcW w:w="6804" w:type="dxa"/>
          <w:tcBorders>
            <w:top w:val="nil"/>
            <w:left w:val="nil"/>
            <w:bottom w:val="nil"/>
            <w:right w:val="nil"/>
          </w:tcBorders>
          <w:tcMar>
            <w:top w:w="100" w:type="dxa"/>
            <w:left w:w="0" w:type="dxa"/>
            <w:bottom w:w="0" w:type="dxa"/>
            <w:right w:w="0" w:type="dxa"/>
          </w:tcMar>
          <w:hideMark/>
        </w:tcPr>
        <w:p w14:paraId="4E206B3D" w14:textId="77777777" w:rsidR="00344A2F" w:rsidRDefault="00E50951">
          <w:pPr>
            <w:jc w:val="left"/>
            <w:rPr>
              <w:sz w:val="18"/>
            </w:rPr>
          </w:pPr>
          <w:r>
            <w:rPr>
              <w:sz w:val="18"/>
            </w:rPr>
            <w:t>Id: 7BB091C3-CF3B-472B-A9D9-9BEBB8B42D1A. Podpisany</w:t>
          </w:r>
        </w:p>
      </w:tc>
      <w:tc>
        <w:tcPr>
          <w:tcW w:w="3402" w:type="dxa"/>
          <w:tcBorders>
            <w:top w:val="nil"/>
            <w:left w:val="nil"/>
            <w:bottom w:val="nil"/>
            <w:right w:val="nil"/>
          </w:tcBorders>
          <w:tcMar>
            <w:top w:w="100" w:type="dxa"/>
            <w:left w:w="0" w:type="dxa"/>
            <w:bottom w:w="0" w:type="dxa"/>
            <w:right w:w="0" w:type="dxa"/>
          </w:tcMar>
          <w:hideMark/>
        </w:tcPr>
        <w:p w14:paraId="4CBEE5C4" w14:textId="59F55668" w:rsidR="00344A2F" w:rsidRDefault="00E50951">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4</w:t>
          </w:r>
          <w:r>
            <w:rPr>
              <w:sz w:val="18"/>
            </w:rPr>
            <w:fldChar w:fldCharType="end"/>
          </w:r>
        </w:p>
      </w:tc>
    </w:tr>
  </w:tbl>
  <w:p w14:paraId="4A077715" w14:textId="77777777" w:rsidR="00344A2F" w:rsidRDefault="00344A2F">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716E97" w14:textId="77777777" w:rsidR="00E50951" w:rsidRDefault="00E50951">
      <w:r>
        <w:separator/>
      </w:r>
    </w:p>
  </w:footnote>
  <w:footnote w:type="continuationSeparator" w:id="0">
    <w:p w14:paraId="5BDF802E" w14:textId="77777777" w:rsidR="00E50951" w:rsidRDefault="00E509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344A2F"/>
    <w:rsid w:val="00A77B3E"/>
    <w:rsid w:val="00AF591B"/>
    <w:rsid w:val="00CA2A55"/>
    <w:rsid w:val="00E509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826F51"/>
  <w15:docId w15:val="{9A78DE4B-CCBE-4BC7-A823-F63CF440C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1580</Words>
  <Characters>9480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Rada Miejska w Gostyniu</Company>
  <LinksUpToDate>false</LinksUpToDate>
  <CharactersWithSpaces>11038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III/25/24 z dnia 20 czerwca 2024 r.</dc:title>
  <dc:subject>w sprawie szczegółowych warunków przyznawania i^odpłatności za usługi opiekuńcze i^specjalistyczne usługi opiekuńcze realizowane, z^wyłączeniem specjalistycznych usług opiekuńczych dla osób z^zaburzeniami psychicznymi, oraz szczegółowe warunki częściowego lub całkowitego zwolnienia z^opłat, jak również tryb ich pobierania, a^także szczegółowych warunków przyznawania usług sąsiedzkich, wymiaru i^zakresu usług sąsiedzkich oraz sposobu rozliczania wykonywania takich usług.</dc:subject>
  <dc:creator>mmajewska</dc:creator>
  <cp:lastModifiedBy>Milena Majewska</cp:lastModifiedBy>
  <cp:revision>2</cp:revision>
  <dcterms:created xsi:type="dcterms:W3CDTF">2024-06-21T12:21:00Z</dcterms:created>
  <dcterms:modified xsi:type="dcterms:W3CDTF">2024-06-21T12:21:00Z</dcterms:modified>
  <cp:category>Akt prawny</cp:category>
</cp:coreProperties>
</file>