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2358" w14:textId="77777777" w:rsidR="00A77B3E" w:rsidRDefault="00A258F3">
      <w:pPr>
        <w:jc w:val="center"/>
        <w:rPr>
          <w:b/>
          <w:caps/>
        </w:rPr>
      </w:pPr>
      <w:r>
        <w:rPr>
          <w:b/>
          <w:caps/>
        </w:rPr>
        <w:t>Uchwała Nr LX/683/24</w:t>
      </w:r>
      <w:r>
        <w:rPr>
          <w:b/>
          <w:caps/>
        </w:rPr>
        <w:br/>
        <w:t>Rady Miejskiej w Gostyniu</w:t>
      </w:r>
    </w:p>
    <w:p w14:paraId="24A19966" w14:textId="77777777" w:rsidR="00A77B3E" w:rsidRDefault="00A258F3">
      <w:pPr>
        <w:spacing w:before="280" w:after="280"/>
        <w:jc w:val="center"/>
        <w:rPr>
          <w:b/>
          <w:caps/>
        </w:rPr>
      </w:pPr>
      <w:r>
        <w:t>z dnia 7 marca 2024 r.</w:t>
      </w:r>
    </w:p>
    <w:p w14:paraId="66869AE5" w14:textId="77777777" w:rsidR="00A77B3E" w:rsidRDefault="00A258F3">
      <w:pPr>
        <w:keepNext/>
        <w:spacing w:after="480"/>
        <w:jc w:val="center"/>
      </w:pPr>
      <w:r>
        <w:rPr>
          <w:b/>
        </w:rPr>
        <w:t xml:space="preserve">zmieniająca uchwałę nr XXXVII/478/18 w sprawie zasad udzielania dotacji celowej ze środków budżetu Gminy Gostyń na dofinansowanie kosztów wymiany systemów ogrzewania węglowego na </w:t>
      </w:r>
      <w:r>
        <w:rPr>
          <w:b/>
        </w:rPr>
        <w:t>nowe ekologiczne źródła ogrzewania na terenie gminy Gostyń</w:t>
      </w:r>
    </w:p>
    <w:p w14:paraId="54F12FE9" w14:textId="77777777" w:rsidR="00A77B3E" w:rsidRDefault="00A258F3">
      <w:pPr>
        <w:keepLines/>
        <w:spacing w:before="120" w:after="120"/>
        <w:ind w:firstLine="227"/>
      </w:pPr>
      <w:r>
        <w:t>Na podstawie art. 18 ust. 2 pkt 15 ustawy z dnia 8 marca 1990 r. o samorządzie gminnym (tekst jednolity Dz. U. z 2023 r., poz. 40 ze zm.), art. 400a ust. 1, pkt 21 oraz art. 403 ust. 4 pkt 1,  ust. 5, ust. 6 ustawy z dnia 27 kwietnia 2001 r. Prawo ochrony środowiska (tekst jednolity Dz. U. z 2024 r., poz. 54) uchwala się, co następuje:</w:t>
      </w:r>
    </w:p>
    <w:p w14:paraId="43C7ECFD" w14:textId="77777777" w:rsidR="00A77B3E" w:rsidRDefault="00A258F3">
      <w:pPr>
        <w:keepLines/>
        <w:spacing w:before="120" w:after="120"/>
        <w:ind w:firstLine="340"/>
      </w:pPr>
      <w:r>
        <w:rPr>
          <w:b/>
        </w:rPr>
        <w:t>§ 1. </w:t>
      </w:r>
      <w:r>
        <w:t>W uchwale nr XXXVII/478/18 z 22 marca 2018 r. w sprawie zasad udzielania dotacji celowej ze środków budżetu Gminy Gostyń na dofinansowanie kosztów wymiany systemów ogrzewania węglowego na nowe ekologiczne źródła ogrzewania na terenie gminy Gostyń wprowadza się następujące zmiany:</w:t>
      </w:r>
    </w:p>
    <w:p w14:paraId="67DB7C9A" w14:textId="77777777" w:rsidR="00A77B3E" w:rsidRDefault="00A258F3">
      <w:pPr>
        <w:keepLines/>
        <w:spacing w:before="120" w:after="120"/>
        <w:ind w:firstLine="340"/>
      </w:pPr>
      <w:r>
        <w:t>1. </w:t>
      </w:r>
      <w:r>
        <w:t>§ 2 otrzymuje brzmienie:</w:t>
      </w:r>
    </w:p>
    <w:p w14:paraId="6A47FFDA" w14:textId="77777777" w:rsidR="00A77B3E" w:rsidRDefault="00A258F3">
      <w:pPr>
        <w:spacing w:before="120" w:after="120"/>
        <w:ind w:left="680" w:firstLine="114"/>
      </w:pPr>
      <w:r>
        <w:t>„Dotacja dotyczy budynków mieszkalnych jednorodzinnych lub lokali mieszkalnych w budynkach wielorodzinnych oraz wspólnot mieszkaniowych”.</w:t>
      </w:r>
      <w:r>
        <w:t>.</w:t>
      </w:r>
    </w:p>
    <w:p w14:paraId="672F3B37" w14:textId="77777777" w:rsidR="00A77B3E" w:rsidRDefault="00A258F3">
      <w:pPr>
        <w:keepLines/>
        <w:spacing w:before="120" w:after="120"/>
        <w:ind w:firstLine="340"/>
      </w:pPr>
      <w:r>
        <w:t>2. </w:t>
      </w:r>
      <w:r>
        <w:t>§ 3 otrzymuje brzmienie:</w:t>
      </w:r>
    </w:p>
    <w:p w14:paraId="19FF91D6" w14:textId="77777777" w:rsidR="00A77B3E" w:rsidRDefault="00A258F3">
      <w:pPr>
        <w:spacing w:before="120" w:after="120"/>
        <w:ind w:left="680" w:firstLine="114"/>
        <w:rPr>
          <w:color w:val="000000"/>
          <w:u w:color="000000"/>
        </w:rPr>
      </w:pPr>
      <w:r>
        <w:t>„Przez nowe ekologiczne źródło ogrzewania, o którym mowa w § 1 należy rozumieć niskoemisyjne, wysokosprawne urządzenia grzewcze, takie jak: kocioł gazowy kondensacyjny c.o., kocioł na węgiel c.o. wyłącznie z automatycznym załadunkiem paliwa bez rusztu i </w:t>
      </w:r>
      <w:proofErr w:type="spellStart"/>
      <w:r>
        <w:t>przedpaleniska</w:t>
      </w:r>
      <w:proofErr w:type="spellEnd"/>
      <w:r>
        <w:t xml:space="preserve">, kocioł na </w:t>
      </w:r>
      <w:proofErr w:type="spellStart"/>
      <w:r>
        <w:t>pellet</w:t>
      </w:r>
      <w:proofErr w:type="spellEnd"/>
      <w:r>
        <w:t xml:space="preserve"> drzewny c.o. wyłącznie z automatycznym załadunkiem paliwa bez rusztu i </w:t>
      </w:r>
      <w:proofErr w:type="spellStart"/>
      <w:r>
        <w:t>przedpaleniska</w:t>
      </w:r>
      <w:proofErr w:type="spellEnd"/>
      <w:r>
        <w:t xml:space="preserve"> o obniżonej emisyjności cząstek stałych o wartości ≤ 20 mg/m</w:t>
      </w:r>
      <w:r>
        <w:rPr>
          <w:color w:val="000000"/>
          <w:u w:color="000000"/>
          <w:vertAlign w:val="superscript"/>
        </w:rPr>
        <w:t>3</w:t>
      </w:r>
      <w:r>
        <w:rPr>
          <w:color w:val="000000"/>
          <w:u w:color="000000"/>
        </w:rPr>
        <w:t>, kocioł c.o. zgazowujący drewno, pompa ciepła oraz ogrzewanie elektryczne, których zastosowanie będzie wiązało się z obniżeniem emisji zanieczyszczeń”.</w:t>
      </w:r>
      <w:r>
        <w:t>.</w:t>
      </w:r>
    </w:p>
    <w:p w14:paraId="7C8A84F2" w14:textId="77777777" w:rsidR="00A77B3E" w:rsidRDefault="00A258F3">
      <w:pPr>
        <w:keepLines/>
        <w:spacing w:before="120" w:after="120"/>
        <w:ind w:firstLine="340"/>
        <w:rPr>
          <w:color w:val="000000"/>
          <w:u w:color="000000"/>
        </w:rPr>
      </w:pPr>
      <w:r>
        <w:t>3. </w:t>
      </w:r>
      <w:r>
        <w:rPr>
          <w:color w:val="000000"/>
          <w:u w:color="000000"/>
        </w:rPr>
        <w:t>W § 4 ust.1 po pkt 1 dodaje się pkt 1a w brzmieniu:</w:t>
      </w:r>
    </w:p>
    <w:p w14:paraId="691B3FAF" w14:textId="77777777" w:rsidR="00A77B3E" w:rsidRDefault="00A258F3">
      <w:pPr>
        <w:spacing w:before="120" w:after="120"/>
        <w:ind w:left="1020" w:hanging="340"/>
        <w:rPr>
          <w:color w:val="000000"/>
          <w:u w:color="000000"/>
        </w:rPr>
      </w:pPr>
      <w:r>
        <w:t>„</w:t>
      </w:r>
      <w:r>
        <w:t>1a) </w:t>
      </w:r>
      <w:r>
        <w:rPr>
          <w:color w:val="000000"/>
          <w:u w:color="000000"/>
        </w:rPr>
        <w:t>spełniać wymagania dla kotłów 5 klasy wg normy PN-EN 303-5:2012”.</w:t>
      </w:r>
      <w:r>
        <w:t>.</w:t>
      </w:r>
    </w:p>
    <w:p w14:paraId="5566FB82" w14:textId="77777777" w:rsidR="00A77B3E" w:rsidRDefault="00A258F3">
      <w:pPr>
        <w:keepLines/>
        <w:spacing w:before="120" w:after="120"/>
        <w:ind w:firstLine="340"/>
        <w:rPr>
          <w:color w:val="000000"/>
          <w:u w:color="000000"/>
        </w:rPr>
      </w:pPr>
      <w:r>
        <w:t>4. </w:t>
      </w:r>
      <w:r>
        <w:rPr>
          <w:color w:val="000000"/>
          <w:u w:color="000000"/>
        </w:rPr>
        <w:t>§ 4 ust.1 pkt 2 otrzymuje brzmienie:</w:t>
      </w:r>
    </w:p>
    <w:p w14:paraId="6ACB8962" w14:textId="77777777" w:rsidR="00A77B3E" w:rsidRDefault="00A258F3">
      <w:pPr>
        <w:spacing w:before="120" w:after="120"/>
        <w:ind w:left="680" w:firstLine="114"/>
        <w:rPr>
          <w:color w:val="000000"/>
          <w:u w:color="000000"/>
        </w:rPr>
      </w:pPr>
      <w:r>
        <w:rPr>
          <w:color w:val="000000"/>
          <w:u w:color="000000"/>
        </w:rPr>
        <w:t>„Posiadać wyłącznie automatyczne podawanie paliwa, za wyjątkiem kotłów zgazowujących drewno”.</w:t>
      </w:r>
      <w:r>
        <w:t>.</w:t>
      </w:r>
    </w:p>
    <w:p w14:paraId="1D6268AB" w14:textId="77777777" w:rsidR="00A77B3E" w:rsidRDefault="00A258F3">
      <w:pPr>
        <w:keepLines/>
        <w:spacing w:before="120" w:after="120"/>
        <w:ind w:firstLine="340"/>
        <w:rPr>
          <w:color w:val="000000"/>
          <w:u w:color="000000"/>
        </w:rPr>
      </w:pPr>
      <w:r>
        <w:t>5. </w:t>
      </w:r>
      <w:r>
        <w:rPr>
          <w:color w:val="000000"/>
          <w:u w:color="000000"/>
        </w:rPr>
        <w:t>§ 6 ust.1 pkt 1 otrzymuje brzmienie:</w:t>
      </w:r>
    </w:p>
    <w:p w14:paraId="63562988" w14:textId="77777777" w:rsidR="00A77B3E" w:rsidRDefault="00A258F3">
      <w:pPr>
        <w:spacing w:before="120" w:after="120"/>
        <w:ind w:left="680" w:firstLine="114"/>
        <w:rPr>
          <w:color w:val="000000"/>
          <w:u w:color="000000"/>
        </w:rPr>
      </w:pPr>
      <w:r>
        <w:rPr>
          <w:color w:val="000000"/>
          <w:u w:color="000000"/>
        </w:rPr>
        <w:t>„Zakup przenośnych urządzeń grzewczych”.</w:t>
      </w:r>
      <w:r>
        <w:t>.</w:t>
      </w:r>
    </w:p>
    <w:p w14:paraId="7B843632" w14:textId="77777777" w:rsidR="00A77B3E" w:rsidRDefault="00A258F3">
      <w:pPr>
        <w:keepLines/>
        <w:spacing w:before="120" w:after="120"/>
        <w:ind w:firstLine="340"/>
        <w:rPr>
          <w:color w:val="000000"/>
          <w:u w:color="000000"/>
        </w:rPr>
      </w:pPr>
      <w:r>
        <w:t>6. </w:t>
      </w:r>
      <w:r>
        <w:rPr>
          <w:color w:val="000000"/>
          <w:u w:color="000000"/>
        </w:rPr>
        <w:t>§ 7 ust.1 otrzymuje brzmienie:</w:t>
      </w:r>
    </w:p>
    <w:p w14:paraId="1A201CAB" w14:textId="77777777" w:rsidR="00A77B3E" w:rsidRDefault="00A258F3">
      <w:pPr>
        <w:spacing w:before="120" w:after="120"/>
        <w:ind w:left="680" w:firstLine="114"/>
        <w:rPr>
          <w:color w:val="000000"/>
          <w:u w:color="000000"/>
        </w:rPr>
      </w:pPr>
      <w:r>
        <w:rPr>
          <w:color w:val="000000"/>
          <w:u w:color="000000"/>
        </w:rPr>
        <w:t>„Dotacja udzielana jest jednorazowo w wysokości 50% ceny zakupu i montażu nowego źródła ogrzewania, nie więcej jednak niż 6.000,00 zł (słownie: sześć tysięcy złotych) w przypadku instalacji urządzenia w budynku mieszkalnym, 4.000,00 zł (słownie: cztery tysiące złotych) w przypadku instalacji urządzenia w lokalu mieszkalnym oraz 4.000,00 zł (słownie: cztery tysiące złotych) na mieszkanie w przypadku instalacji urządzenia przez wspólnotę mieszkaniową w budynku wielorodzinnym”.</w:t>
      </w:r>
      <w:r>
        <w:t>.</w:t>
      </w:r>
    </w:p>
    <w:p w14:paraId="5CF89360" w14:textId="77777777" w:rsidR="00A77B3E" w:rsidRDefault="00A258F3">
      <w:pPr>
        <w:keepLines/>
        <w:spacing w:before="120" w:after="120"/>
        <w:ind w:firstLine="340"/>
        <w:rPr>
          <w:color w:val="000000"/>
          <w:u w:color="000000"/>
        </w:rPr>
      </w:pPr>
      <w:r>
        <w:t>7. </w:t>
      </w:r>
      <w:r>
        <w:rPr>
          <w:color w:val="000000"/>
          <w:u w:color="000000"/>
        </w:rPr>
        <w:t>W § 8 po ust. 2 dodaje się ust. 3 w brzmieniu:</w:t>
      </w:r>
    </w:p>
    <w:p w14:paraId="473AC01D" w14:textId="77777777" w:rsidR="00A77B3E" w:rsidRDefault="00A258F3">
      <w:pPr>
        <w:keepLines/>
        <w:spacing w:before="120" w:after="120"/>
        <w:ind w:left="680" w:firstLine="227"/>
        <w:rPr>
          <w:color w:val="000000"/>
          <w:u w:color="000000"/>
        </w:rPr>
      </w:pPr>
      <w:r>
        <w:t>„</w:t>
      </w:r>
      <w:r>
        <w:t>3. </w:t>
      </w:r>
      <w:r>
        <w:rPr>
          <w:color w:val="000000"/>
          <w:u w:color="000000"/>
        </w:rPr>
        <w:t>Wnioskodawca może złożyć tylko jeden wniosek w danym roku budżetowym na jedno nowe źródło ekologiczne, wymienione w § 3”.</w:t>
      </w:r>
      <w:r>
        <w:t>.</w:t>
      </w:r>
    </w:p>
    <w:p w14:paraId="33E8E424" w14:textId="77777777" w:rsidR="00A77B3E" w:rsidRDefault="00A258F3">
      <w:pPr>
        <w:keepLines/>
        <w:spacing w:before="120" w:after="120"/>
        <w:ind w:firstLine="340"/>
        <w:rPr>
          <w:color w:val="000000"/>
          <w:u w:color="000000"/>
        </w:rPr>
      </w:pPr>
      <w:r>
        <w:t>8. </w:t>
      </w:r>
      <w:r>
        <w:rPr>
          <w:color w:val="000000"/>
          <w:u w:color="000000"/>
        </w:rPr>
        <w:t xml:space="preserve">W § 10 ust. 1 punkty 1) 2) i 3) </w:t>
      </w:r>
      <w:r>
        <w:rPr>
          <w:color w:val="000000"/>
          <w:u w:color="000000"/>
        </w:rPr>
        <w:t>otrzymują brzmienie:</w:t>
      </w:r>
    </w:p>
    <w:p w14:paraId="0884F71F" w14:textId="77777777" w:rsidR="00A77B3E" w:rsidRDefault="00A258F3">
      <w:pPr>
        <w:spacing w:before="120" w:after="120"/>
        <w:ind w:left="1020" w:hanging="340"/>
        <w:rPr>
          <w:color w:val="000000"/>
          <w:u w:color="000000"/>
        </w:rPr>
      </w:pPr>
      <w:r>
        <w:t>„</w:t>
      </w:r>
      <w:r>
        <w:t>1) </w:t>
      </w:r>
      <w:r>
        <w:rPr>
          <w:color w:val="000000"/>
          <w:u w:color="000000"/>
        </w:rPr>
        <w:t xml:space="preserve">rozporządzeniu Komisji (UE) nr 2023/2831 z dnia 13 grudnia 2023 r. w sprawie stosowania art. 107 i 108 Traktatu o funkcjonowaniu Unii Europejskiej do </w:t>
      </w:r>
      <w:r>
        <w:rPr>
          <w:i/>
          <w:color w:val="000000"/>
          <w:u w:color="000000"/>
        </w:rPr>
        <w:t xml:space="preserve">pomocy de </w:t>
      </w:r>
      <w:proofErr w:type="spellStart"/>
      <w:r>
        <w:rPr>
          <w:i/>
          <w:color w:val="000000"/>
          <w:u w:color="000000"/>
        </w:rPr>
        <w:t>minimis</w:t>
      </w:r>
      <w:proofErr w:type="spellEnd"/>
      <w:r>
        <w:rPr>
          <w:color w:val="000000"/>
          <w:u w:color="000000"/>
        </w:rPr>
        <w:t xml:space="preserve"> (Dz. Urz. UE L 2831 z 15.12.2023 r.), które zastępuje rozporządzenie Komisji (UE) nr 1407/2013”;</w:t>
      </w:r>
      <w:r>
        <w:t>.</w:t>
      </w:r>
    </w:p>
    <w:p w14:paraId="70092305" w14:textId="77777777" w:rsidR="00A77B3E" w:rsidRDefault="00A258F3">
      <w:pPr>
        <w:spacing w:before="120" w:after="120"/>
        <w:ind w:left="1360" w:hanging="340"/>
        <w:rPr>
          <w:color w:val="000000"/>
          <w:u w:color="000000"/>
        </w:rPr>
      </w:pPr>
      <w:r>
        <w:t>„</w:t>
      </w:r>
      <w:r>
        <w:t>2) </w:t>
      </w:r>
      <w:r>
        <w:rPr>
          <w:color w:val="000000"/>
          <w:u w:color="000000"/>
        </w:rPr>
        <w:t xml:space="preserve">rozporządzenie Komisji (UE) nr 1408/2013 z dnia 18 grudnia 2013 r. w sprawie stosowania art. 107 i 108 Traktatu o funkcjonowaniu Unii Europejskiej do </w:t>
      </w:r>
      <w:r>
        <w:rPr>
          <w:i/>
          <w:color w:val="000000"/>
          <w:u w:color="000000"/>
        </w:rPr>
        <w:t xml:space="preserve">pomocy de </w:t>
      </w:r>
      <w:proofErr w:type="spellStart"/>
      <w:r>
        <w:rPr>
          <w:i/>
          <w:color w:val="000000"/>
          <w:u w:color="000000"/>
        </w:rPr>
        <w:t>minimis</w:t>
      </w:r>
      <w:proofErr w:type="spellEnd"/>
      <w:r>
        <w:rPr>
          <w:color w:val="000000"/>
          <w:u w:color="000000"/>
        </w:rPr>
        <w:t xml:space="preserve"> w sektorze rolnym (Dz. Urz. UE L 352 z 24.12.2013, str. 9, z </w:t>
      </w:r>
      <w:proofErr w:type="spellStart"/>
      <w:r>
        <w:rPr>
          <w:color w:val="000000"/>
          <w:u w:color="000000"/>
        </w:rPr>
        <w:t>późn</w:t>
      </w:r>
      <w:proofErr w:type="spellEnd"/>
      <w:r>
        <w:rPr>
          <w:color w:val="000000"/>
          <w:u w:color="000000"/>
        </w:rPr>
        <w:t>. zm.)”;</w:t>
      </w:r>
      <w:r>
        <w:t>.</w:t>
      </w:r>
    </w:p>
    <w:p w14:paraId="299170F4" w14:textId="77777777" w:rsidR="00A77B3E" w:rsidRDefault="00A258F3">
      <w:pPr>
        <w:spacing w:before="120" w:after="120"/>
        <w:ind w:left="1700" w:hanging="340"/>
        <w:rPr>
          <w:color w:val="000000"/>
          <w:u w:color="000000"/>
        </w:rPr>
      </w:pPr>
      <w:r>
        <w:lastRenderedPageBreak/>
        <w:t>„</w:t>
      </w:r>
      <w:r>
        <w:t>3) </w:t>
      </w:r>
      <w:r>
        <w:rPr>
          <w:color w:val="000000"/>
          <w:u w:color="000000"/>
        </w:rPr>
        <w:t xml:space="preserve">rozporządzenie Komisji (UE)  nr 717/2014 z dnia 27 czerwca 2014 r. w sprawie stosowaniu art. 107 i 108 Traktatu o funkcjonowaniu Unii Europejskiej do </w:t>
      </w:r>
      <w:r>
        <w:rPr>
          <w:i/>
          <w:color w:val="000000"/>
          <w:u w:color="000000"/>
        </w:rPr>
        <w:t xml:space="preserve">pomocy de </w:t>
      </w:r>
      <w:proofErr w:type="spellStart"/>
      <w:r>
        <w:rPr>
          <w:i/>
          <w:color w:val="000000"/>
          <w:u w:color="000000"/>
        </w:rPr>
        <w:t>minimis</w:t>
      </w:r>
      <w:proofErr w:type="spellEnd"/>
      <w:r>
        <w:rPr>
          <w:color w:val="000000"/>
          <w:u w:color="000000"/>
        </w:rPr>
        <w:t xml:space="preserve"> w sektorze rybołówstwa i akwakultury (Dz. Urz. UE L 190,  z 28.06.2014 r., str. 45, z </w:t>
      </w:r>
      <w:proofErr w:type="spellStart"/>
      <w:r>
        <w:rPr>
          <w:color w:val="000000"/>
          <w:u w:color="000000"/>
        </w:rPr>
        <w:t>późn</w:t>
      </w:r>
      <w:proofErr w:type="spellEnd"/>
      <w:r>
        <w:rPr>
          <w:color w:val="000000"/>
          <w:u w:color="000000"/>
        </w:rPr>
        <w:t>. zm.)”.</w:t>
      </w:r>
      <w:r>
        <w:t>.</w:t>
      </w:r>
    </w:p>
    <w:p w14:paraId="4BA6F71D" w14:textId="77777777" w:rsidR="00A77B3E" w:rsidRDefault="00A258F3">
      <w:pPr>
        <w:keepLines/>
        <w:spacing w:before="120" w:after="120"/>
        <w:ind w:firstLine="340"/>
        <w:rPr>
          <w:color w:val="000000"/>
          <w:u w:color="000000"/>
        </w:rPr>
      </w:pPr>
      <w:r>
        <w:t>9. </w:t>
      </w:r>
      <w:r>
        <w:rPr>
          <w:color w:val="000000"/>
          <w:u w:color="000000"/>
        </w:rPr>
        <w:t>§ 10 ust. 2 oraz punkty 1) i 2) otrzymują brzmienie:</w:t>
      </w:r>
    </w:p>
    <w:p w14:paraId="5F62EF65" w14:textId="77777777" w:rsidR="00A77B3E" w:rsidRDefault="00A258F3">
      <w:pPr>
        <w:spacing w:before="120" w:after="120"/>
        <w:ind w:left="680" w:firstLine="114"/>
        <w:rPr>
          <w:color w:val="000000"/>
          <w:u w:color="000000"/>
        </w:rPr>
      </w:pPr>
      <w:r>
        <w:rPr>
          <w:color w:val="000000"/>
          <w:u w:color="000000"/>
        </w:rPr>
        <w:t xml:space="preserve">„Podmiot ubiegający się o pomoc de </w:t>
      </w:r>
      <w:proofErr w:type="spellStart"/>
      <w:r>
        <w:rPr>
          <w:color w:val="000000"/>
          <w:u w:color="000000"/>
        </w:rPr>
        <w:t>minimis</w:t>
      </w:r>
      <w:proofErr w:type="spellEnd"/>
      <w:r>
        <w:rPr>
          <w:color w:val="000000"/>
          <w:u w:color="000000"/>
        </w:rPr>
        <w:t>, o której mowa w § 10 ust. 1, jest zobowiązany do przedstawienia podmiotowi udzielającemu pomocy, wraz z wnioskiem o udzielenie pomocy:</w:t>
      </w:r>
    </w:p>
    <w:p w14:paraId="7186EA0D" w14:textId="77777777" w:rsidR="00A77B3E" w:rsidRDefault="00A258F3">
      <w:pPr>
        <w:spacing w:before="120" w:after="120"/>
        <w:ind w:left="1020" w:hanging="227"/>
        <w:rPr>
          <w:color w:val="000000"/>
          <w:u w:color="000000"/>
        </w:rPr>
      </w:pPr>
      <w:r>
        <w:t>1) </w:t>
      </w:r>
      <w:r>
        <w:rPr>
          <w:color w:val="000000"/>
          <w:u w:color="000000"/>
        </w:rPr>
        <w:t xml:space="preserve">wszystkich zaświadczeń o pomocy de </w:t>
      </w:r>
      <w:proofErr w:type="spellStart"/>
      <w:r>
        <w:rPr>
          <w:color w:val="000000"/>
          <w:u w:color="000000"/>
        </w:rPr>
        <w:t>minimis</w:t>
      </w:r>
      <w:proofErr w:type="spellEnd"/>
      <w:r>
        <w:rPr>
          <w:color w:val="000000"/>
          <w:u w:color="000000"/>
        </w:rPr>
        <w:t xml:space="preserve"> oraz pomocy de </w:t>
      </w:r>
      <w:proofErr w:type="spellStart"/>
      <w:r>
        <w:rPr>
          <w:color w:val="000000"/>
          <w:u w:color="000000"/>
        </w:rPr>
        <w:t>minimis</w:t>
      </w:r>
      <w:proofErr w:type="spellEnd"/>
      <w:r>
        <w:rPr>
          <w:color w:val="000000"/>
          <w:u w:color="000000"/>
        </w:rPr>
        <w:t xml:space="preserve"> w rolnictwie lub rybołówstwie otrzymanej w ciągu 3 minionych lat, albo oświadczenia o wielkości tej pomocy otrzymanej w tym okresie, albo oświadczenia o nieotrzymaniu takiej pomocy w tym okresie;</w:t>
      </w:r>
    </w:p>
    <w:p w14:paraId="5FCDF84C" w14:textId="77777777" w:rsidR="00A77B3E" w:rsidRDefault="00A258F3">
      <w:pPr>
        <w:spacing w:before="120" w:after="120"/>
        <w:ind w:left="1020" w:hanging="227"/>
        <w:rPr>
          <w:color w:val="000000"/>
          <w:u w:color="000000"/>
        </w:rPr>
      </w:pPr>
      <w:r>
        <w:t>2) </w:t>
      </w:r>
      <w:r>
        <w:rPr>
          <w:color w:val="000000"/>
          <w:u w:color="000000"/>
        </w:rPr>
        <w:t xml:space="preserve">informacji określonych w rozporządzeniu Rady Ministrów z dnia 29 marca 2010 r. w sprawie zakresu informacji przedstawianych przez podmiot ubiegający się o pomoc de </w:t>
      </w:r>
      <w:proofErr w:type="spellStart"/>
      <w:r>
        <w:rPr>
          <w:color w:val="000000"/>
          <w:u w:color="000000"/>
        </w:rPr>
        <w:t>minimis</w:t>
      </w:r>
      <w:proofErr w:type="spellEnd"/>
      <w:r>
        <w:rPr>
          <w:color w:val="000000"/>
          <w:u w:color="000000"/>
        </w:rPr>
        <w:t xml:space="preserve"> (tekst jednolity Dz.U. z 2024 r., poz. 40)”.</w:t>
      </w:r>
      <w:r>
        <w:t>.</w:t>
      </w:r>
    </w:p>
    <w:p w14:paraId="7BBB53F2" w14:textId="77777777" w:rsidR="00A77B3E" w:rsidRDefault="00A258F3">
      <w:pPr>
        <w:keepLines/>
        <w:spacing w:before="120" w:after="120"/>
        <w:ind w:firstLine="340"/>
        <w:rPr>
          <w:color w:val="000000"/>
          <w:u w:color="000000"/>
        </w:rPr>
      </w:pPr>
      <w:r>
        <w:t>10. </w:t>
      </w:r>
      <w:r>
        <w:rPr>
          <w:color w:val="000000"/>
          <w:u w:color="000000"/>
        </w:rPr>
        <w:t>W § 10 ust. 4 otrzymuje brzmienie:</w:t>
      </w:r>
    </w:p>
    <w:p w14:paraId="5C907109" w14:textId="77777777" w:rsidR="00A77B3E" w:rsidRDefault="00A258F3">
      <w:pPr>
        <w:spacing w:before="120" w:after="120"/>
        <w:ind w:left="680" w:firstLine="114"/>
        <w:rPr>
          <w:color w:val="000000"/>
          <w:u w:color="000000"/>
        </w:rPr>
      </w:pPr>
      <w:r>
        <w:rPr>
          <w:color w:val="000000"/>
          <w:u w:color="000000"/>
        </w:rPr>
        <w:t xml:space="preserve">„Pomoc </w:t>
      </w:r>
      <w:r>
        <w:rPr>
          <w:i/>
          <w:color w:val="000000"/>
          <w:u w:color="000000"/>
        </w:rPr>
        <w:t xml:space="preserve">de </w:t>
      </w:r>
      <w:proofErr w:type="spellStart"/>
      <w:r>
        <w:rPr>
          <w:i/>
          <w:color w:val="000000"/>
          <w:u w:color="000000"/>
        </w:rPr>
        <w:t>minimis</w:t>
      </w:r>
      <w:proofErr w:type="spellEnd"/>
      <w:r>
        <w:rPr>
          <w:i/>
          <w:color w:val="000000"/>
          <w:u w:color="000000"/>
        </w:rPr>
        <w:t xml:space="preserve"> </w:t>
      </w:r>
      <w:r>
        <w:rPr>
          <w:color w:val="000000"/>
          <w:u w:color="000000"/>
        </w:rPr>
        <w:t>będzie udzielana na zasadach określonych w niniejszej uchwale do 30 czerwca 2031 roku, w sektorze rolnym do 30 czerwca 2028 roku, a w sektorze rybołówstwa i akwakultury do 30 czerwca 2030 roku”.</w:t>
      </w:r>
      <w:r>
        <w:t>.</w:t>
      </w:r>
    </w:p>
    <w:p w14:paraId="2C4D4581" w14:textId="77777777" w:rsidR="00A77B3E" w:rsidRDefault="00A258F3">
      <w:pPr>
        <w:keepLines/>
        <w:spacing w:before="120" w:after="120"/>
        <w:ind w:firstLine="340"/>
        <w:rPr>
          <w:color w:val="000000"/>
          <w:u w:color="000000"/>
        </w:rPr>
      </w:pPr>
      <w:r>
        <w:rPr>
          <w:b/>
        </w:rPr>
        <w:t>§ 2. </w:t>
      </w:r>
      <w:r>
        <w:rPr>
          <w:color w:val="000000"/>
          <w:u w:color="000000"/>
        </w:rPr>
        <w:t>Wykonanie uchwały powierza się Burmistrzowi Gostynia.</w:t>
      </w:r>
    </w:p>
    <w:p w14:paraId="2B703A89" w14:textId="77777777" w:rsidR="00A77B3E" w:rsidRDefault="00A258F3">
      <w:pPr>
        <w:keepNext/>
        <w:keepLines/>
        <w:spacing w:before="120" w:after="120"/>
        <w:ind w:firstLine="340"/>
        <w:rPr>
          <w:color w:val="000000"/>
          <w:u w:color="000000"/>
        </w:rPr>
      </w:pPr>
      <w:r>
        <w:rPr>
          <w:b/>
        </w:rPr>
        <w:t>§ 3. </w:t>
      </w:r>
      <w:r>
        <w:rPr>
          <w:color w:val="000000"/>
          <w:u w:color="000000"/>
        </w:rPr>
        <w:t>Uchwała wchodzi w życie po upływie 14 dni od dnia jej ogłoszenia w Dzienniku Urzędowym Województwa Wielkopolskiego.</w:t>
      </w:r>
    </w:p>
    <w:p w14:paraId="0B8256FD" w14:textId="77777777" w:rsidR="00A77B3E" w:rsidRDefault="00A258F3">
      <w:pPr>
        <w:keepNext/>
        <w:spacing w:before="120" w:after="120"/>
        <w:ind w:firstLine="227"/>
        <w:rPr>
          <w:color w:val="000000"/>
          <w:u w:color="000000"/>
        </w:rPr>
      </w:pPr>
      <w:r>
        <w:rPr>
          <w:color w:val="000000"/>
          <w:u w:color="000000"/>
        </w:rPr>
        <w:t> </w:t>
      </w:r>
    </w:p>
    <w:p w14:paraId="224FEAC0" w14:textId="77777777" w:rsidR="00A77B3E" w:rsidRDefault="00A258F3">
      <w:pPr>
        <w:keepNext/>
        <w:rPr>
          <w:color w:val="000000"/>
          <w:u w:color="000000"/>
        </w:rPr>
      </w:pPr>
      <w:r>
        <w:rPr>
          <w:color w:val="000000"/>
          <w:u w:color="00000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5103"/>
      </w:tblGrid>
      <w:tr w:rsidR="002E2A28" w14:paraId="5D212B68" w14:textId="77777777">
        <w:tc>
          <w:tcPr>
            <w:tcW w:w="5205" w:type="dxa"/>
            <w:tcBorders>
              <w:top w:val="nil"/>
              <w:left w:val="nil"/>
              <w:bottom w:val="nil"/>
              <w:right w:val="nil"/>
            </w:tcBorders>
            <w:tcMar>
              <w:top w:w="100" w:type="dxa"/>
            </w:tcMar>
          </w:tcPr>
          <w:p w14:paraId="6EED7C1F" w14:textId="77777777" w:rsidR="00A77B3E" w:rsidRDefault="00A77B3E">
            <w:pPr>
              <w:rPr>
                <w:color w:val="000000"/>
                <w:u w:color="000000"/>
              </w:rPr>
            </w:pPr>
          </w:p>
        </w:tc>
        <w:tc>
          <w:tcPr>
            <w:tcW w:w="5205" w:type="dxa"/>
            <w:tcBorders>
              <w:top w:val="nil"/>
              <w:left w:val="nil"/>
              <w:bottom w:val="nil"/>
              <w:right w:val="nil"/>
            </w:tcBorders>
            <w:tcMar>
              <w:top w:w="100" w:type="dxa"/>
            </w:tcMar>
          </w:tcPr>
          <w:p w14:paraId="27BFB031" w14:textId="77777777" w:rsidR="00A77B3E" w:rsidRDefault="00A258F3">
            <w:pPr>
              <w:jc w:val="center"/>
              <w:rPr>
                <w:color w:val="000000"/>
                <w:u w:color="000000"/>
              </w:rPr>
            </w:pPr>
            <w:r>
              <w:t>Przewodniczący Rady Miejskiej</w:t>
            </w:r>
          </w:p>
          <w:p w14:paraId="7FD7163F" w14:textId="77777777" w:rsidR="002E2A28" w:rsidRDefault="002E2A28"/>
          <w:p w14:paraId="797D75E8" w14:textId="77777777" w:rsidR="002E2A28" w:rsidRDefault="00A258F3">
            <w:pPr>
              <w:jc w:val="center"/>
            </w:pPr>
            <w:r>
              <w:rPr>
                <w:b/>
              </w:rPr>
              <w:t xml:space="preserve">Mirosław </w:t>
            </w:r>
            <w:r>
              <w:t>Żywicki</w:t>
            </w:r>
          </w:p>
        </w:tc>
      </w:tr>
    </w:tbl>
    <w:p w14:paraId="5C8B24CC" w14:textId="77777777" w:rsidR="00A77B3E" w:rsidRDefault="00A77B3E">
      <w:pPr>
        <w:keepLines/>
        <w:rPr>
          <w:color w:val="000000"/>
          <w:u w:color="000000"/>
        </w:rPr>
        <w:sectPr w:rsidR="00A77B3E">
          <w:footerReference w:type="default" r:id="rId6"/>
          <w:endnotePr>
            <w:numFmt w:val="decimal"/>
          </w:endnotePr>
          <w:pgSz w:w="11906" w:h="16838"/>
          <w:pgMar w:top="850" w:right="850" w:bottom="1417" w:left="850" w:header="708" w:footer="708" w:gutter="0"/>
          <w:cols w:space="708"/>
          <w:docGrid w:linePitch="360"/>
        </w:sectPr>
      </w:pPr>
    </w:p>
    <w:p w14:paraId="610F9527" w14:textId="77777777" w:rsidR="002E2A28" w:rsidRDefault="002E2A28">
      <w:pPr>
        <w:rPr>
          <w:szCs w:val="20"/>
        </w:rPr>
      </w:pPr>
    </w:p>
    <w:p w14:paraId="2DD9DA5A" w14:textId="77777777" w:rsidR="002E2A28" w:rsidRDefault="00A258F3">
      <w:pPr>
        <w:jc w:val="center"/>
        <w:rPr>
          <w:szCs w:val="20"/>
        </w:rPr>
      </w:pPr>
      <w:r>
        <w:rPr>
          <w:b/>
          <w:szCs w:val="20"/>
        </w:rPr>
        <w:t>Uzasadnienie</w:t>
      </w:r>
    </w:p>
    <w:p w14:paraId="199A78BA" w14:textId="77777777" w:rsidR="002E2A28" w:rsidRDefault="00A258F3">
      <w:pPr>
        <w:spacing w:before="120" w:after="120"/>
        <w:ind w:firstLine="227"/>
        <w:jc w:val="center"/>
        <w:rPr>
          <w:szCs w:val="20"/>
        </w:rPr>
      </w:pPr>
      <w:r>
        <w:rPr>
          <w:szCs w:val="20"/>
        </w:rPr>
        <w:t>UCHWAŁY NR LX/683/24</w:t>
      </w:r>
    </w:p>
    <w:p w14:paraId="56163CBA" w14:textId="77777777" w:rsidR="002E2A28" w:rsidRDefault="00A258F3">
      <w:pPr>
        <w:spacing w:before="120" w:after="120"/>
        <w:ind w:firstLine="227"/>
        <w:jc w:val="center"/>
        <w:rPr>
          <w:szCs w:val="20"/>
        </w:rPr>
      </w:pPr>
      <w:r>
        <w:rPr>
          <w:szCs w:val="20"/>
        </w:rPr>
        <w:t>RADY MIEJSKIEJ W GOSTYNIU</w:t>
      </w:r>
    </w:p>
    <w:p w14:paraId="2E249E83" w14:textId="77777777" w:rsidR="002E2A28" w:rsidRDefault="00A258F3">
      <w:pPr>
        <w:spacing w:before="120" w:after="120"/>
        <w:ind w:firstLine="227"/>
        <w:jc w:val="center"/>
        <w:rPr>
          <w:szCs w:val="20"/>
        </w:rPr>
      </w:pPr>
      <w:r>
        <w:rPr>
          <w:szCs w:val="20"/>
        </w:rPr>
        <w:t>z dnia 7 marca 2024 r.</w:t>
      </w:r>
    </w:p>
    <w:p w14:paraId="4DE1D37E" w14:textId="77777777" w:rsidR="002E2A28" w:rsidRDefault="00A258F3">
      <w:pPr>
        <w:spacing w:before="120" w:after="120"/>
        <w:ind w:firstLine="227"/>
        <w:jc w:val="center"/>
        <w:rPr>
          <w:szCs w:val="20"/>
        </w:rPr>
      </w:pPr>
      <w:r>
        <w:rPr>
          <w:szCs w:val="20"/>
        </w:rPr>
        <w:t xml:space="preserve">zmieniającej uchwałę nr XXXVII/478/18 w sprawie zasad udzielania dotacji celowej ze </w:t>
      </w:r>
      <w:r>
        <w:rPr>
          <w:szCs w:val="20"/>
        </w:rPr>
        <w:t>środków budżetu Gminy Gostyń na dofinansowanie kosztów wymiany systemów ogrzewania węglowego na nowe ekologiczne źródła ogrzewania na terenie gminy Gostyń</w:t>
      </w:r>
    </w:p>
    <w:p w14:paraId="6B7B62AF" w14:textId="77777777" w:rsidR="002E2A28" w:rsidRDefault="00A258F3">
      <w:pPr>
        <w:spacing w:before="120" w:after="120"/>
        <w:ind w:firstLine="227"/>
        <w:rPr>
          <w:color w:val="000000"/>
          <w:szCs w:val="20"/>
          <w:u w:color="000000"/>
        </w:rPr>
      </w:pPr>
      <w:r>
        <w:rPr>
          <w:szCs w:val="20"/>
        </w:rPr>
        <w:t xml:space="preserve">Celem zmiany uchwały nr XXXVII/478/18 Rady Miejskiej w Gostyniu z 22 marca 2018 roku w sprawie zasad udzielania dotacji celowej ze środków budżetu Gminy Gostyń na dofinansowanie kosztów wymiany systemów ogrzewania węglowego na nowe ekologiczne źródła ogrzewania na terenie gminy Gostyń jest m.in. zwiększenie kwoty dotacji oraz dostosowanie w niej zapisów do zmienionych rozporządzeń Komisji UE w zakresie udzielania dotacji stanowiącej pomoc </w:t>
      </w:r>
      <w:r>
        <w:rPr>
          <w:i/>
          <w:color w:val="000000"/>
          <w:szCs w:val="20"/>
          <w:u w:color="000000"/>
        </w:rPr>
        <w:t xml:space="preserve">de </w:t>
      </w:r>
      <w:proofErr w:type="spellStart"/>
      <w:r>
        <w:rPr>
          <w:i/>
          <w:color w:val="000000"/>
          <w:szCs w:val="20"/>
          <w:u w:color="000000"/>
        </w:rPr>
        <w:t>minimis</w:t>
      </w:r>
      <w:proofErr w:type="spellEnd"/>
      <w:r>
        <w:rPr>
          <w:i/>
          <w:color w:val="000000"/>
          <w:szCs w:val="20"/>
          <w:u w:color="000000"/>
        </w:rPr>
        <w:t>.</w:t>
      </w:r>
    </w:p>
    <w:p w14:paraId="7785D293" w14:textId="77777777" w:rsidR="002E2A28" w:rsidRDefault="00A258F3">
      <w:pPr>
        <w:spacing w:before="120" w:after="120"/>
        <w:ind w:firstLine="227"/>
        <w:rPr>
          <w:color w:val="000000"/>
          <w:szCs w:val="20"/>
          <w:u w:color="000000"/>
        </w:rPr>
      </w:pPr>
      <w:r>
        <w:rPr>
          <w:color w:val="000000"/>
          <w:szCs w:val="20"/>
          <w:u w:color="000000"/>
        </w:rPr>
        <w:t xml:space="preserve">Zgodnie z art. 7 ust. 3 i 3a ustawy z dnia 30 kwietnia 2004 roku o postępowaniu w sprawach dotyczących pomocy publicznej (tekst jednolity Dz. U. z 2023 r., poz. 702) projekt uchwały 5 lutego 2024 roku został przesłany do zaopiniowania do Prezesa Urzędu Ochrony Konkurencji i Konsumentów oraz Ministra Rolnictwa i Rozwoju Wsi. Prezes UOKiK przedstawił swoje stanowisko w dniu 19 lutego 2024 roku. Minister Rolnictwa i Rozwoju Wsi przedstawił swoje stanowisko w dniu 15 lutego 2024 roku. Stanowiska ww. instytucji </w:t>
      </w:r>
      <w:r>
        <w:rPr>
          <w:color w:val="000000"/>
          <w:szCs w:val="20"/>
          <w:u w:color="000000"/>
        </w:rPr>
        <w:t>zostały   uwzględnione w projekcie uchwały.</w:t>
      </w:r>
    </w:p>
    <w:p w14:paraId="63EC4D1B" w14:textId="77777777" w:rsidR="002E2A28" w:rsidRDefault="00A258F3">
      <w:pPr>
        <w:spacing w:before="120" w:after="120"/>
        <w:ind w:firstLine="227"/>
        <w:rPr>
          <w:color w:val="000000"/>
          <w:szCs w:val="20"/>
          <w:u w:color="000000"/>
        </w:rPr>
      </w:pPr>
      <w:r>
        <w:rPr>
          <w:color w:val="000000"/>
          <w:szCs w:val="20"/>
          <w:u w:color="000000"/>
        </w:rPr>
        <w:t>Wobec powyższego podjęcie uchwały jest zasadne.</w:t>
      </w:r>
    </w:p>
    <w:p w14:paraId="7B5700D0" w14:textId="77777777" w:rsidR="002E2A28" w:rsidRDefault="002E2A28">
      <w:pPr>
        <w:spacing w:before="120" w:after="120"/>
        <w:ind w:firstLine="227"/>
        <w:rPr>
          <w:color w:val="000000"/>
          <w:szCs w:val="20"/>
          <w:u w:color="000000"/>
        </w:rPr>
      </w:pPr>
    </w:p>
    <w:tbl>
      <w:tblPr>
        <w:tblStyle w:val="Tabela-Prosty1"/>
        <w:tblW w:w="5000" w:type="pct"/>
        <w:tblBorders>
          <w:top w:val="nil"/>
          <w:left w:val="nil"/>
          <w:bottom w:val="nil"/>
          <w:right w:val="nil"/>
        </w:tblBorders>
        <w:tblLook w:val="04A0" w:firstRow="1" w:lastRow="0" w:firstColumn="1" w:lastColumn="0" w:noHBand="0" w:noVBand="1"/>
      </w:tblPr>
      <w:tblGrid>
        <w:gridCol w:w="5103"/>
        <w:gridCol w:w="5103"/>
      </w:tblGrid>
      <w:tr w:rsidR="002E2A28" w14:paraId="4FDDCA6D" w14:textId="77777777">
        <w:tc>
          <w:tcPr>
            <w:tcW w:w="2500" w:type="pct"/>
            <w:tcBorders>
              <w:right w:val="nil"/>
            </w:tcBorders>
          </w:tcPr>
          <w:p w14:paraId="53C71D01" w14:textId="77777777" w:rsidR="002E2A28" w:rsidRDefault="002E2A28">
            <w:pPr>
              <w:spacing w:before="120" w:after="120"/>
              <w:rPr>
                <w:color w:val="000000"/>
                <w:szCs w:val="20"/>
                <w:u w:color="000000"/>
              </w:rPr>
            </w:pPr>
          </w:p>
        </w:tc>
        <w:tc>
          <w:tcPr>
            <w:tcW w:w="2500" w:type="pct"/>
            <w:tcBorders>
              <w:left w:val="nil"/>
            </w:tcBorders>
          </w:tcPr>
          <w:p w14:paraId="18B08981" w14:textId="77777777" w:rsidR="002E2A28" w:rsidRDefault="00A258F3">
            <w:pPr>
              <w:spacing w:before="120" w:after="120"/>
              <w:jc w:val="center"/>
              <w:rPr>
                <w:color w:val="000000"/>
                <w:szCs w:val="20"/>
                <w:u w:color="000000"/>
              </w:rPr>
            </w:pPr>
            <w:r>
              <w:rPr>
                <w:color w:val="000000"/>
                <w:szCs w:val="20"/>
                <w:u w:color="000000"/>
              </w:rPr>
              <w:fldChar w:fldCharType="begin"/>
            </w:r>
            <w:r>
              <w:rPr>
                <w:color w:val="000000"/>
                <w:szCs w:val="20"/>
                <w:u w:color="000000"/>
              </w:rPr>
              <w:instrText>SIGNATURE_0_1_FUNCTION</w:instrText>
            </w:r>
            <w:r>
              <w:rPr>
                <w:color w:val="000000"/>
                <w:szCs w:val="20"/>
                <w:u w:color="000000"/>
              </w:rPr>
              <w:fldChar w:fldCharType="separate"/>
            </w:r>
            <w:r>
              <w:rPr>
                <w:color w:val="000000"/>
                <w:szCs w:val="20"/>
                <w:u w:color="000000"/>
              </w:rPr>
              <w:t>Przewodniczący Rady Miejskiej</w:t>
            </w:r>
            <w:r>
              <w:rPr>
                <w:color w:val="000000"/>
                <w:szCs w:val="20"/>
                <w:u w:color="000000"/>
              </w:rPr>
              <w:fldChar w:fldCharType="end"/>
            </w:r>
          </w:p>
          <w:p w14:paraId="4797E10C" w14:textId="77777777" w:rsidR="002E2A28" w:rsidRDefault="00A258F3">
            <w:pPr>
              <w:spacing w:before="120" w:after="120"/>
              <w:jc w:val="center"/>
              <w:rPr>
                <w:color w:val="000000"/>
                <w:szCs w:val="20"/>
                <w:u w:color="000000"/>
              </w:rPr>
            </w:pPr>
            <w:r>
              <w:rPr>
                <w:color w:val="000000"/>
                <w:szCs w:val="20"/>
                <w:u w:color="000000"/>
              </w:rPr>
              <w:t xml:space="preserve"> </w:t>
            </w:r>
          </w:p>
          <w:p w14:paraId="28A15244" w14:textId="77777777" w:rsidR="002E2A28" w:rsidRDefault="00A258F3">
            <w:pPr>
              <w:spacing w:before="120" w:after="120"/>
              <w:jc w:val="center"/>
              <w:rPr>
                <w:color w:val="000000"/>
                <w:szCs w:val="20"/>
                <w:u w:color="000000"/>
              </w:rPr>
            </w:pPr>
            <w:r>
              <w:rPr>
                <w:color w:val="000000"/>
                <w:szCs w:val="20"/>
                <w:u w:color="000000"/>
              </w:rPr>
              <w:fldChar w:fldCharType="begin"/>
            </w:r>
            <w:r>
              <w:rPr>
                <w:color w:val="000000"/>
                <w:szCs w:val="20"/>
                <w:u w:color="000000"/>
              </w:rPr>
              <w:instrText>SIGNATURE_0_1_FIRSTNAME</w:instrText>
            </w:r>
            <w:r>
              <w:rPr>
                <w:color w:val="000000"/>
                <w:szCs w:val="20"/>
                <w:u w:color="000000"/>
              </w:rPr>
              <w:fldChar w:fldCharType="separate"/>
            </w:r>
            <w:r>
              <w:rPr>
                <w:b/>
                <w:color w:val="000000"/>
                <w:szCs w:val="20"/>
                <w:u w:color="000000"/>
              </w:rPr>
              <w:t xml:space="preserve">Mirosław </w:t>
            </w:r>
            <w:r>
              <w:rPr>
                <w:color w:val="000000"/>
                <w:szCs w:val="20"/>
                <w:u w:color="000000"/>
              </w:rPr>
              <w:fldChar w:fldCharType="end"/>
            </w:r>
            <w:r>
              <w:rPr>
                <w:color w:val="000000"/>
                <w:szCs w:val="20"/>
                <w:u w:color="000000"/>
              </w:rPr>
              <w:fldChar w:fldCharType="begin"/>
            </w:r>
            <w:r>
              <w:rPr>
                <w:color w:val="000000"/>
                <w:szCs w:val="20"/>
                <w:u w:color="000000"/>
              </w:rPr>
              <w:instrText>SIGNATURE_0_1_LASTNAME</w:instrText>
            </w:r>
            <w:r>
              <w:rPr>
                <w:color w:val="000000"/>
                <w:szCs w:val="20"/>
                <w:u w:color="000000"/>
              </w:rPr>
              <w:fldChar w:fldCharType="separate"/>
            </w:r>
            <w:r>
              <w:rPr>
                <w:b/>
                <w:color w:val="000000"/>
                <w:szCs w:val="20"/>
                <w:u w:color="000000"/>
              </w:rPr>
              <w:t>Żywicki</w:t>
            </w:r>
            <w:r>
              <w:rPr>
                <w:color w:val="000000"/>
                <w:szCs w:val="20"/>
                <w:u w:color="000000"/>
              </w:rPr>
              <w:fldChar w:fldCharType="end"/>
            </w:r>
          </w:p>
        </w:tc>
      </w:tr>
    </w:tbl>
    <w:p w14:paraId="0AAB9BA1" w14:textId="77777777" w:rsidR="002E2A28" w:rsidRDefault="002E2A28">
      <w:pPr>
        <w:spacing w:before="120" w:after="120"/>
        <w:ind w:firstLine="227"/>
        <w:rPr>
          <w:color w:val="000000"/>
          <w:szCs w:val="20"/>
          <w:u w:color="000000"/>
        </w:rPr>
      </w:pPr>
    </w:p>
    <w:sectPr w:rsidR="002E2A28">
      <w:footerReference w:type="default" r:id="rId7"/>
      <w:endnotePr>
        <w:numFmt w:val="decimal"/>
      </w:endnotePr>
      <w:pgSz w:w="11906" w:h="16838"/>
      <w:pgMar w:top="850"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1A164" w14:textId="77777777" w:rsidR="00A258F3" w:rsidRDefault="00A258F3">
      <w:r>
        <w:separator/>
      </w:r>
    </w:p>
  </w:endnote>
  <w:endnote w:type="continuationSeparator" w:id="0">
    <w:p w14:paraId="405DD304" w14:textId="77777777" w:rsidR="00A258F3" w:rsidRDefault="00A2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2E2A28" w14:paraId="4BC292F9" w14:textId="77777777">
      <w:tc>
        <w:tcPr>
          <w:tcW w:w="6804" w:type="dxa"/>
          <w:tcBorders>
            <w:top w:val="nil"/>
            <w:left w:val="nil"/>
            <w:bottom w:val="nil"/>
            <w:right w:val="nil"/>
          </w:tcBorders>
          <w:tcMar>
            <w:top w:w="100" w:type="dxa"/>
          </w:tcMar>
        </w:tcPr>
        <w:p w14:paraId="277ED7F1" w14:textId="77777777" w:rsidR="002E2A28" w:rsidRDefault="00A258F3">
          <w:pPr>
            <w:jc w:val="left"/>
            <w:rPr>
              <w:sz w:val="18"/>
            </w:rPr>
          </w:pPr>
          <w:r>
            <w:rPr>
              <w:sz w:val="18"/>
            </w:rPr>
            <w:t xml:space="preserve">Id: </w:t>
          </w:r>
          <w:r>
            <w:rPr>
              <w:sz w:val="18"/>
            </w:rPr>
            <w:t>F7169B2D-497A-4005-9B64-D08AC04EEEFC. Podpisany</w:t>
          </w:r>
        </w:p>
      </w:tc>
      <w:tc>
        <w:tcPr>
          <w:tcW w:w="3402" w:type="dxa"/>
          <w:tcBorders>
            <w:top w:val="nil"/>
            <w:left w:val="nil"/>
            <w:bottom w:val="nil"/>
            <w:right w:val="nil"/>
          </w:tcBorders>
          <w:tcMar>
            <w:top w:w="100" w:type="dxa"/>
          </w:tcMar>
        </w:tcPr>
        <w:p w14:paraId="482EF039" w14:textId="77777777" w:rsidR="002E2A28" w:rsidRDefault="00A258F3">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028D3340" w14:textId="77777777" w:rsidR="002E2A28" w:rsidRDefault="002E2A28">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2E2A28" w14:paraId="7BCD45DF" w14:textId="77777777">
      <w:tc>
        <w:tcPr>
          <w:tcW w:w="6804" w:type="dxa"/>
          <w:tcBorders>
            <w:top w:val="nil"/>
            <w:left w:val="nil"/>
            <w:bottom w:val="nil"/>
            <w:right w:val="nil"/>
          </w:tcBorders>
          <w:tcMar>
            <w:top w:w="100" w:type="dxa"/>
          </w:tcMar>
        </w:tcPr>
        <w:p w14:paraId="0F28EE15" w14:textId="77777777" w:rsidR="002E2A28" w:rsidRDefault="00A258F3">
          <w:pPr>
            <w:jc w:val="left"/>
            <w:rPr>
              <w:sz w:val="18"/>
            </w:rPr>
          </w:pPr>
          <w:r>
            <w:rPr>
              <w:sz w:val="18"/>
            </w:rPr>
            <w:t>Id: F7169B2D-497A-4005-9B64-D08AC04EEEFC. Podpisany</w:t>
          </w:r>
        </w:p>
      </w:tc>
      <w:tc>
        <w:tcPr>
          <w:tcW w:w="3402" w:type="dxa"/>
          <w:tcBorders>
            <w:top w:val="nil"/>
            <w:left w:val="nil"/>
            <w:bottom w:val="nil"/>
            <w:right w:val="nil"/>
          </w:tcBorders>
          <w:tcMar>
            <w:top w:w="100" w:type="dxa"/>
          </w:tcMar>
        </w:tcPr>
        <w:p w14:paraId="30425540" w14:textId="77777777" w:rsidR="002E2A28" w:rsidRDefault="00A258F3">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3</w:t>
          </w:r>
          <w:r>
            <w:rPr>
              <w:sz w:val="18"/>
            </w:rPr>
            <w:fldChar w:fldCharType="end"/>
          </w:r>
        </w:p>
      </w:tc>
    </w:tr>
  </w:tbl>
  <w:p w14:paraId="0CFE831C" w14:textId="77777777" w:rsidR="002E2A28" w:rsidRDefault="002E2A28">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1AEF1" w14:textId="77777777" w:rsidR="00A258F3" w:rsidRDefault="00A258F3">
      <w:r>
        <w:separator/>
      </w:r>
    </w:p>
  </w:footnote>
  <w:footnote w:type="continuationSeparator" w:id="0">
    <w:p w14:paraId="495F6530" w14:textId="77777777" w:rsidR="00A258F3" w:rsidRDefault="00A258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E2A28"/>
    <w:rsid w:val="00A258F3"/>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B8EC0"/>
  <w15:docId w15:val="{DEE4FFEE-C37C-4CA7-A8B4-9010C3EE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Rada Miejska w Gostyniu</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LX/683/24 z dnia 7 marca 2024 r.</dc:title>
  <dc:subject>zmieniająca uchwałę nr XXXVII/478/18 w^sprawie zasad udzielania dotacji celowej ze środków budżetu Gminy Gostyń na dofinansowanie kosztów wymiany systemów ogrzewania węglowego na nowe ekologiczne źródła ogrzewania na terenie gminy Gostyń</dc:subject>
  <dc:creator>mmajewska</dc:creator>
  <cp:lastModifiedBy>Milena Majewska</cp:lastModifiedBy>
  <cp:revision>2</cp:revision>
  <dcterms:created xsi:type="dcterms:W3CDTF">2024-03-13T14:00:00Z</dcterms:created>
  <dcterms:modified xsi:type="dcterms:W3CDTF">2024-03-13T14:00:00Z</dcterms:modified>
  <cp:category>Akt prawny</cp:category>
</cp:coreProperties>
</file>