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ED1" w14:textId="77777777" w:rsidR="00A77B3E" w:rsidRDefault="00CE29B6">
      <w:pPr>
        <w:jc w:val="center"/>
        <w:rPr>
          <w:b/>
          <w:caps/>
        </w:rPr>
      </w:pPr>
      <w:r>
        <w:rPr>
          <w:b/>
          <w:caps/>
        </w:rPr>
        <w:t>Uchwała Nr XLVII/536/23</w:t>
      </w:r>
      <w:r>
        <w:rPr>
          <w:b/>
          <w:caps/>
        </w:rPr>
        <w:br/>
        <w:t>Rady Miejskiej w Gostyniu</w:t>
      </w:r>
    </w:p>
    <w:p w14:paraId="226330FD" w14:textId="77777777" w:rsidR="00A77B3E" w:rsidRDefault="00CE29B6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525B2211" w14:textId="77777777" w:rsidR="00A77B3E" w:rsidRDefault="00CE29B6">
      <w:pPr>
        <w:keepNext/>
        <w:spacing w:after="480"/>
        <w:jc w:val="center"/>
      </w:pPr>
      <w:r>
        <w:rPr>
          <w:b/>
        </w:rPr>
        <w:t>zmieniająca uchwałę w sprawie przyjęcia Regulaminu utrzymania czystości i porządku na terenie gminy Gostyń</w:t>
      </w:r>
    </w:p>
    <w:p w14:paraId="0D36BCF2" w14:textId="77777777" w:rsidR="00A77B3E" w:rsidRDefault="00CE29B6">
      <w:pPr>
        <w:keepLines/>
        <w:spacing w:before="120" w:after="120"/>
        <w:ind w:firstLine="227"/>
      </w:pPr>
      <w:r>
        <w:t xml:space="preserve">Na podstawie podstawie art. 18 ust. 2 pkt 15 ustawy z dnia 8 marca </w:t>
      </w:r>
      <w:r>
        <w:t>1990 r. o samorządzie gminnym (t.j. Dz. U. z 2023 r. poz. 40) oraz art. 4 ustawy z dnia 13 września 1996 roku o utrzymaniu czystości i porządku w gminach (t.j. Dz. U. z 2022 r. poz. 2519 ze zm.) Rada Miejska w Gostyniu uchwala, co następuje:</w:t>
      </w:r>
    </w:p>
    <w:p w14:paraId="07FB506E" w14:textId="77777777" w:rsidR="00A77B3E" w:rsidRDefault="00CE29B6">
      <w:pPr>
        <w:keepLines/>
        <w:spacing w:before="120" w:after="120"/>
        <w:ind w:firstLine="340"/>
      </w:pPr>
      <w:r>
        <w:rPr>
          <w:b/>
        </w:rPr>
        <w:t>§ 1. </w:t>
      </w:r>
      <w:r>
        <w:t>W Regulam</w:t>
      </w:r>
      <w:r>
        <w:t>inie utrzymania czystości i porządku na terenie Gminy Gostyń stanowiącym załącznik do uchwały nr XVIII/250/20 Rady Miejskiej w Gostyniu z dnia 20 sierpnia 2020 r. (Dz. Urz. Woj. Wielkopolskiego z 20120 roku poz. 6490), wprowadza się następujące zmiany:</w:t>
      </w:r>
    </w:p>
    <w:p w14:paraId="4F494E7F" w14:textId="77777777" w:rsidR="00A77B3E" w:rsidRDefault="00CE29B6">
      <w:pPr>
        <w:keepLines/>
        <w:spacing w:before="120" w:after="120"/>
        <w:ind w:firstLine="340"/>
      </w:pPr>
      <w:r>
        <w:t>1. </w:t>
      </w:r>
      <w:r>
        <w:t>W rozdziale II § 9 otrzymuje brzmienie:</w:t>
      </w:r>
    </w:p>
    <w:p w14:paraId="4A55435D" w14:textId="77777777" w:rsidR="00A77B3E" w:rsidRDefault="00CE29B6">
      <w:pPr>
        <w:spacing w:before="120" w:after="120"/>
        <w:ind w:left="680" w:firstLine="114"/>
      </w:pPr>
      <w:r>
        <w:t>„Nieczystości ciekłe gromadzone na terenie nieruchomości w zbiornikach bezodpływowych należy usuwać poprzez uprawnione podmioty prowadzące działalność w zakresie opróżniania zbiorników bezodpływowych lub osadników w </w:t>
      </w:r>
      <w:r>
        <w:t>instalacjach przydomowych oczyszczalni ścieków i transporcie nieczystości ciekłych, z częstotliwością dostosowaną do ilości odprowadzanych nieczystości ciekłych i pojemności zbiornika bezodpływowego, w sposób gwarantujący, że nie nastąpi wypływ z tego zbio</w:t>
      </w:r>
      <w:r>
        <w:t>rnika, wynikający z jego przepełnienia, mogący powodować zanieczyszczenie powierzchni ziemi, wód powierzchniowych i podziemnych, z tym, że dla:</w:t>
      </w:r>
    </w:p>
    <w:p w14:paraId="44062FD6" w14:textId="77777777" w:rsidR="00A77B3E" w:rsidRDefault="00CE29B6">
      <w:pPr>
        <w:spacing w:before="120" w:after="120"/>
        <w:ind w:left="1020" w:hanging="227"/>
      </w:pPr>
      <w:r>
        <w:t>1) </w:t>
      </w:r>
      <w:r>
        <w:t>właścicieli nieruchomości zamieszkałych częstotliwość opróżniania zbiorników bezodpływowych nie może być rzad</w:t>
      </w:r>
      <w:r>
        <w:t>sza niż raz na 3 miesiące;</w:t>
      </w:r>
    </w:p>
    <w:p w14:paraId="3C65F18B" w14:textId="77777777" w:rsidR="00A77B3E" w:rsidRDefault="00CE29B6">
      <w:pPr>
        <w:spacing w:before="120" w:after="120"/>
        <w:ind w:left="1020" w:hanging="227"/>
      </w:pPr>
      <w:r>
        <w:t>2) </w:t>
      </w:r>
      <w:r>
        <w:t>właścicieli nieruchomości, na których znajdują się domki letniskowe, lub innych nieruchomości wykorzystywanych na cele rekreacyjno – wypoczynkowe, wykorzystywanych jedynie przez część roku, częstotliwość opróżniania zbiorników</w:t>
      </w:r>
      <w:r>
        <w:t xml:space="preserve"> bezodpływowych nie może być rzadsza niż raz w roku.</w:t>
      </w:r>
    </w:p>
    <w:p w14:paraId="2DF0424E" w14:textId="77777777" w:rsidR="00A77B3E" w:rsidRDefault="00CE29B6">
      <w:pPr>
        <w:spacing w:before="120" w:after="120"/>
        <w:ind w:left="1020" w:hanging="227"/>
      </w:pPr>
      <w:r>
        <w:t>3) </w:t>
      </w:r>
      <w:r>
        <w:t>W przypadku instalacji przydomowych oczyszczalni ścieków osadniki powinny być opróżniane przez podmioty prowadzące działalność w zakresie opróżniania zbiorników bezodpływowych lub osadników w instalac</w:t>
      </w:r>
      <w:r>
        <w:t>jach przydomowych oczyszczalni ścieków i transporcie nieczystości ciekłych. Częstotliwość opróżniania osadników powinna wynikać z przepustowości i instrukcji eksploatacji oczyszczalni, jednak nie rzadziej niż raz w roku.</w:t>
      </w:r>
      <w:r>
        <w:t>”</w:t>
      </w:r>
      <w:r>
        <w:t>.</w:t>
      </w:r>
    </w:p>
    <w:p w14:paraId="752C77E2" w14:textId="77777777" w:rsidR="00A77B3E" w:rsidRDefault="00CE29B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</w:t>
      </w:r>
      <w:r>
        <w:t>ię Burmistrzowi Gostynia.</w:t>
      </w:r>
    </w:p>
    <w:p w14:paraId="4600193B" w14:textId="77777777" w:rsidR="00A77B3E" w:rsidRDefault="00CE29B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14:paraId="0CD4B74A" w14:textId="77777777" w:rsidR="00A77B3E" w:rsidRDefault="00A77B3E">
      <w:pPr>
        <w:keepNext/>
        <w:keepLines/>
        <w:spacing w:before="120" w:after="120"/>
        <w:ind w:firstLine="340"/>
      </w:pPr>
    </w:p>
    <w:p w14:paraId="578856F7" w14:textId="77777777" w:rsidR="00A77B3E" w:rsidRDefault="00CE29B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5F1F" w14:paraId="03E8160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D2DB4" w14:textId="77777777" w:rsidR="007E5F1F" w:rsidRDefault="007E5F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F2269" w14:textId="77777777" w:rsidR="007E5F1F" w:rsidRDefault="00CE29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9A2A69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FDE060F" w14:textId="77777777" w:rsidR="007E5F1F" w:rsidRDefault="007E5F1F">
      <w:pPr>
        <w:rPr>
          <w:szCs w:val="20"/>
        </w:rPr>
      </w:pPr>
    </w:p>
    <w:p w14:paraId="339B5C92" w14:textId="77777777" w:rsidR="007E5F1F" w:rsidRDefault="00CE29B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A3B0EE6" w14:textId="77777777" w:rsidR="007E5F1F" w:rsidRDefault="00CE29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XLVII/536/23</w:t>
      </w:r>
    </w:p>
    <w:p w14:paraId="76B780CB" w14:textId="77777777" w:rsidR="007E5F1F" w:rsidRDefault="00CE29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8D4D385" w14:textId="77777777" w:rsidR="007E5F1F" w:rsidRDefault="00CE29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 r.</w:t>
      </w:r>
    </w:p>
    <w:p w14:paraId="17C38530" w14:textId="77777777" w:rsidR="007E5F1F" w:rsidRDefault="00CE29B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zmieniającej uchwałę w sprawie przyjęcia Regulaminu utrzymania czystości </w:t>
      </w:r>
      <w:r>
        <w:rPr>
          <w:szCs w:val="20"/>
        </w:rPr>
        <w:t>i porządku na terenie gminy Gostyń</w:t>
      </w:r>
    </w:p>
    <w:p w14:paraId="42D93D42" w14:textId="77777777" w:rsidR="007E5F1F" w:rsidRDefault="00CE29B6">
      <w:pPr>
        <w:spacing w:before="120" w:after="120"/>
        <w:ind w:firstLine="227"/>
        <w:rPr>
          <w:szCs w:val="20"/>
        </w:rPr>
      </w:pPr>
      <w:r>
        <w:rPr>
          <w:szCs w:val="20"/>
        </w:rPr>
        <w:t>W dniu 20 sierpnia 2020 roku Rada Miejska w Gostyniu podjęła uchwałę nr XVIII/250/20 (Dz. Urz. Woj. Wielkopolskiego z 20120 roku poz. 6490),  w sprawie przyjęcia Regulaminu utrzymania czystości i porządku na terenie gminy</w:t>
      </w:r>
      <w:r>
        <w:rPr>
          <w:szCs w:val="20"/>
        </w:rPr>
        <w:t xml:space="preserve"> Gostyń, który określa szczegółowe zasady utrzymania czystości i porządku na terenie nieruchomości położonych na terenie gminy.</w:t>
      </w:r>
    </w:p>
    <w:p w14:paraId="230FD702" w14:textId="77777777" w:rsidR="007E5F1F" w:rsidRDefault="00CE29B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11 ustawy z dnia 7 lipca 2022 r. o zmianie ustawy – Prawo wodne oraz niektórych innych ustaw (Dz. U. z 2022 r. po</w:t>
      </w:r>
      <w:r>
        <w:rPr>
          <w:szCs w:val="20"/>
        </w:rPr>
        <w:t>z. 1549), rady gmin w terminie 6 miesięcy od dnia wejścia w życie w/w ustawy, dostosują regulamin utrzymania czystości i porządku na terenie gminy do zmian wynikających z powyższej ustawy. W Regulaminie utrzymania czystości i porządku na terenie Gminy Gost</w:t>
      </w:r>
      <w:r>
        <w:rPr>
          <w:szCs w:val="20"/>
        </w:rPr>
        <w:t>yń doprecyzowano częstotliwość opróżniania zbiorników bezodpływowych oraz częstotliwość opróżniania osadników instalacji przydomowych oczyszczalni ścieków na terenie gminy. Mając na uwadze przepisy ww. ustaw zachodzi konieczność dostosowania Regulaminu utr</w:t>
      </w:r>
      <w:r>
        <w:rPr>
          <w:szCs w:val="20"/>
        </w:rPr>
        <w:t>zymania czystości i porządku w powyższym zakresie.</w:t>
      </w:r>
    </w:p>
    <w:p w14:paraId="31B82CE3" w14:textId="77777777" w:rsidR="007E5F1F" w:rsidRDefault="00CE29B6">
      <w:pPr>
        <w:spacing w:before="120" w:after="120"/>
        <w:ind w:firstLine="227"/>
        <w:rPr>
          <w:szCs w:val="20"/>
        </w:rPr>
      </w:pPr>
      <w:r>
        <w:rPr>
          <w:szCs w:val="20"/>
        </w:rPr>
        <w:t>Projekt niniejszego Regulaminu utrzymania czystości i porządku na terenie Gminy Gostyń został pozytywnie zaopiniowany przez Państwowego Powiatowego Inspektora Sanitarnego w Gostyniu.</w:t>
      </w:r>
    </w:p>
    <w:p w14:paraId="019ECD0C" w14:textId="77777777" w:rsidR="007E5F1F" w:rsidRDefault="00CE29B6">
      <w:pPr>
        <w:spacing w:before="120" w:after="120"/>
        <w:ind w:firstLine="227"/>
        <w:rPr>
          <w:szCs w:val="20"/>
        </w:rPr>
      </w:pPr>
      <w:r>
        <w:rPr>
          <w:szCs w:val="20"/>
        </w:rPr>
        <w:t>Wobec tego podjęcie pr</w:t>
      </w:r>
      <w:r>
        <w:rPr>
          <w:szCs w:val="20"/>
        </w:rPr>
        <w:t>zedmiotowej uchwały jest w pełni uzasadnione.</w:t>
      </w:r>
    </w:p>
    <w:p w14:paraId="442CEAE6" w14:textId="77777777" w:rsidR="007E5F1F" w:rsidRDefault="007E5F1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E5F1F" w14:paraId="577ECD8C" w14:textId="77777777">
        <w:tc>
          <w:tcPr>
            <w:tcW w:w="2500" w:type="pct"/>
            <w:tcBorders>
              <w:right w:val="nil"/>
            </w:tcBorders>
          </w:tcPr>
          <w:p w14:paraId="0A3C5379" w14:textId="77777777" w:rsidR="007E5F1F" w:rsidRDefault="007E5F1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75B06B3" w14:textId="77777777" w:rsidR="007E5F1F" w:rsidRDefault="00CE29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A1CCE48" w14:textId="77777777" w:rsidR="007E5F1F" w:rsidRDefault="00CE29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E225E0D" w14:textId="77777777" w:rsidR="007E5F1F" w:rsidRDefault="00CE29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6A04FDF" w14:textId="77777777" w:rsidR="007E5F1F" w:rsidRDefault="007E5F1F">
      <w:pPr>
        <w:spacing w:before="120" w:after="120"/>
        <w:ind w:firstLine="227"/>
        <w:rPr>
          <w:szCs w:val="20"/>
        </w:rPr>
      </w:pPr>
    </w:p>
    <w:sectPr w:rsidR="007E5F1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EC02" w14:textId="77777777" w:rsidR="00000000" w:rsidRDefault="00CE29B6">
      <w:r>
        <w:separator/>
      </w:r>
    </w:p>
  </w:endnote>
  <w:endnote w:type="continuationSeparator" w:id="0">
    <w:p w14:paraId="525760DC" w14:textId="77777777" w:rsidR="00000000" w:rsidRDefault="00CE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5F1F" w14:paraId="23217D4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5DB6DE" w14:textId="77777777" w:rsidR="007E5F1F" w:rsidRDefault="00CE29B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069A6D86-5EEB-4633-B430-7E23C4AC646E.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3D2781" w14:textId="77777777" w:rsidR="007E5F1F" w:rsidRDefault="00CE29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D082C8" w14:textId="77777777" w:rsidR="007E5F1F" w:rsidRDefault="007E5F1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5F1F" w14:paraId="707403F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6A4035" w14:textId="77777777" w:rsidR="007E5F1F" w:rsidRDefault="00CE29B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069A6D86-5EEB-4633-B430-7E23C4AC646E.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2E3353" w14:textId="77777777" w:rsidR="007E5F1F" w:rsidRDefault="00CE29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DC81A14" w14:textId="77777777" w:rsidR="007E5F1F" w:rsidRDefault="007E5F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F9F3" w14:textId="77777777" w:rsidR="00000000" w:rsidRDefault="00CE29B6">
      <w:r>
        <w:separator/>
      </w:r>
    </w:p>
  </w:footnote>
  <w:footnote w:type="continuationSeparator" w:id="0">
    <w:p w14:paraId="7230ADF9" w14:textId="77777777" w:rsidR="00000000" w:rsidRDefault="00CE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E5F1F"/>
    <w:rsid w:val="00A77B3E"/>
    <w:rsid w:val="00CA2A55"/>
    <w:rsid w:val="00C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97D8"/>
  <w15:docId w15:val="{DF8E06CA-8AC3-4A6C-84B6-A38B3B6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XLVII/536/23 z dnia 26 stycznia 2023 r.</dc:title>
  <dc:subject>zmieniająca uchwałę w^sprawie przyjęcia Regulaminu utrzymania czystości i^porządku na terenie gminy Gostyń</dc:subject>
  <dc:creator>mmajewska</dc:creator>
  <cp:lastModifiedBy>Milena Majewska</cp:lastModifiedBy>
  <cp:revision>2</cp:revision>
  <dcterms:created xsi:type="dcterms:W3CDTF">2023-01-27T07:18:00Z</dcterms:created>
  <dcterms:modified xsi:type="dcterms:W3CDTF">2023-01-27T07:18:00Z</dcterms:modified>
  <cp:category>Akt prawny</cp:category>
</cp:coreProperties>
</file>