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3FE3" w14:textId="77777777" w:rsidR="00A77B3E" w:rsidRDefault="00886B8B">
      <w:pPr>
        <w:jc w:val="center"/>
        <w:rPr>
          <w:b/>
          <w:caps/>
        </w:rPr>
      </w:pPr>
      <w:r>
        <w:rPr>
          <w:b/>
          <w:caps/>
        </w:rPr>
        <w:t>Uchwała Nr XLV/519/22</w:t>
      </w:r>
      <w:r>
        <w:rPr>
          <w:b/>
          <w:caps/>
        </w:rPr>
        <w:br/>
        <w:t>Rady Miejskiej w Gostyniu</w:t>
      </w:r>
    </w:p>
    <w:p w14:paraId="25BBCBF2" w14:textId="77777777" w:rsidR="00A77B3E" w:rsidRDefault="00886B8B">
      <w:pPr>
        <w:spacing w:before="280" w:after="280"/>
        <w:jc w:val="center"/>
        <w:rPr>
          <w:b/>
          <w:caps/>
        </w:rPr>
      </w:pPr>
      <w:r>
        <w:t>z dnia 24 listopada 2022 r.</w:t>
      </w:r>
    </w:p>
    <w:p w14:paraId="308BCCA5" w14:textId="77777777" w:rsidR="00A77B3E" w:rsidRDefault="00886B8B">
      <w:pPr>
        <w:keepNext/>
        <w:spacing w:after="480"/>
        <w:jc w:val="center"/>
      </w:pPr>
      <w:r>
        <w:rPr>
          <w:b/>
        </w:rPr>
        <w:t>w sprawie zmiany wysokości wskaźników limitujących wysokość dodatku mieszkaniowego</w:t>
      </w:r>
    </w:p>
    <w:p w14:paraId="7E36A596" w14:textId="77777777" w:rsidR="00A77B3E" w:rsidRDefault="00886B8B">
      <w:pPr>
        <w:keepLines/>
        <w:spacing w:before="120" w:after="120"/>
        <w:ind w:firstLine="227"/>
      </w:pPr>
      <w:r>
        <w:t xml:space="preserve">Na podstawie art. 18 ust. 2 pkt 15 ustawy z dnia 8 marca 1990 r. o samorządzie gminnym </w:t>
      </w:r>
      <w:r>
        <w:t>(</w:t>
      </w:r>
      <w:proofErr w:type="spellStart"/>
      <w:r>
        <w:t>t.j</w:t>
      </w:r>
      <w:proofErr w:type="spellEnd"/>
      <w:r>
        <w:t>. Dz. U. z 2022 r., poz. 559 ze zm.) w związku z art. 6 ust. 11 ustawy z dnia 21 czerwca 2001 r. o dodatkach mieszkaniowych (</w:t>
      </w:r>
      <w:proofErr w:type="spellStart"/>
      <w:r>
        <w:t>t.j</w:t>
      </w:r>
      <w:proofErr w:type="spellEnd"/>
      <w:r>
        <w:t>. Dz. U. z 2021 r. poz. 2021 ze zm.) Rada Miejska w Gostyniu uchwala, co następuje:</w:t>
      </w:r>
    </w:p>
    <w:p w14:paraId="117B6EEB" w14:textId="77777777" w:rsidR="00A77B3E" w:rsidRDefault="00886B8B">
      <w:pPr>
        <w:keepLines/>
        <w:spacing w:before="120" w:after="120"/>
        <w:ind w:firstLine="340"/>
      </w:pPr>
      <w:r>
        <w:rPr>
          <w:b/>
        </w:rPr>
        <w:t>§ 1. </w:t>
      </w:r>
      <w:r>
        <w:t>Ustala się, że wysokość dodatku mie</w:t>
      </w:r>
      <w:r>
        <w:t>szkaniowego, łącznie z ryczałtem na zakup opału, nie może przekraczać 50 % wydatków przypadających na normatywną powierzchnię zajmowanego lokalu mieszkalnego lub 50 % faktycznych wydatków ponoszonych za lokal mieszkalny, jeżeli powierzchnia tego lokalu jes</w:t>
      </w:r>
      <w:r>
        <w:t>t mniejsza lub równa normatywnej powierzchni.</w:t>
      </w:r>
    </w:p>
    <w:p w14:paraId="475AF7ED" w14:textId="77777777" w:rsidR="00A77B3E" w:rsidRDefault="00886B8B">
      <w:pPr>
        <w:keepLines/>
        <w:spacing w:before="120" w:after="120"/>
        <w:ind w:firstLine="340"/>
      </w:pPr>
      <w:r>
        <w:rPr>
          <w:b/>
        </w:rPr>
        <w:t>§ 2. </w:t>
      </w:r>
      <w:r>
        <w:t>Wykonanie uchwały powierza się Burmistrzowi Gostynia.</w:t>
      </w:r>
    </w:p>
    <w:p w14:paraId="07E60EAD" w14:textId="77777777" w:rsidR="00A77B3E" w:rsidRDefault="00886B8B">
      <w:pPr>
        <w:keepNext/>
        <w:keepLines/>
        <w:spacing w:before="120" w:after="120"/>
        <w:ind w:firstLine="340"/>
      </w:pPr>
      <w:r>
        <w:rPr>
          <w:b/>
        </w:rPr>
        <w:t>§ 3. </w:t>
      </w:r>
      <w:r>
        <w:t>Uchwała wchodzi po upływie 14 dni od dnia ogłoszenia w Dzienniku Urzędowym Województwa Wielkopolskiego.</w:t>
      </w:r>
    </w:p>
    <w:p w14:paraId="1FCDB294" w14:textId="77777777" w:rsidR="00A77B3E" w:rsidRDefault="00A77B3E">
      <w:pPr>
        <w:keepNext/>
        <w:keepLines/>
        <w:spacing w:before="120" w:after="120"/>
        <w:ind w:firstLine="340"/>
      </w:pPr>
    </w:p>
    <w:p w14:paraId="3148A64B" w14:textId="77777777" w:rsidR="00A77B3E" w:rsidRDefault="00886B8B">
      <w:pPr>
        <w:keepNext/>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B715A2" w14:paraId="4C177D02" w14:textId="77777777">
        <w:tc>
          <w:tcPr>
            <w:tcW w:w="2500" w:type="pct"/>
            <w:tcMar>
              <w:top w:w="0" w:type="dxa"/>
              <w:left w:w="0" w:type="dxa"/>
              <w:bottom w:w="0" w:type="dxa"/>
              <w:right w:w="0" w:type="dxa"/>
            </w:tcMar>
            <w:hideMark/>
          </w:tcPr>
          <w:p w14:paraId="4B204C82" w14:textId="77777777" w:rsidR="00B715A2" w:rsidRDefault="00B715A2">
            <w:pPr>
              <w:keepNext/>
              <w:keepLines/>
              <w:jc w:val="left"/>
              <w:rPr>
                <w:color w:val="000000"/>
                <w:szCs w:val="22"/>
              </w:rPr>
            </w:pPr>
          </w:p>
        </w:tc>
        <w:tc>
          <w:tcPr>
            <w:tcW w:w="2500" w:type="pct"/>
            <w:tcMar>
              <w:top w:w="0" w:type="dxa"/>
              <w:left w:w="0" w:type="dxa"/>
              <w:bottom w:w="0" w:type="dxa"/>
              <w:right w:w="0" w:type="dxa"/>
            </w:tcMar>
            <w:hideMark/>
          </w:tcPr>
          <w:p w14:paraId="3123F916" w14:textId="77777777" w:rsidR="00B715A2" w:rsidRDefault="00886B8B">
            <w:pPr>
              <w:keepNext/>
              <w:keepLines/>
              <w:spacing w:before="560" w:after="560"/>
              <w:ind w:left="1134" w:right="1134"/>
              <w:jc w:val="center"/>
              <w:rPr>
                <w:color w:val="000000"/>
                <w:szCs w:val="22"/>
              </w:rPr>
            </w:pPr>
            <w:r>
              <w:rPr>
                <w:color w:val="000000"/>
                <w:szCs w:val="22"/>
              </w:rPr>
              <w:t>Przewodniczący Rady Miejskiej</w:t>
            </w:r>
            <w:r>
              <w:rPr>
                <w:color w:val="000000"/>
                <w:szCs w:val="22"/>
              </w:rPr>
              <w:br/>
            </w:r>
            <w:r>
              <w:rPr>
                <w:color w:val="000000"/>
                <w:szCs w:val="22"/>
              </w:rPr>
              <w:br/>
            </w:r>
            <w:r>
              <w:rPr>
                <w:color w:val="000000"/>
                <w:szCs w:val="22"/>
              </w:rPr>
              <w:br/>
            </w:r>
            <w:r>
              <w:rPr>
                <w:b/>
              </w:rPr>
              <w:t>Mirosł</w:t>
            </w:r>
            <w:r>
              <w:rPr>
                <w:b/>
              </w:rPr>
              <w:t>aw Żywicki</w:t>
            </w:r>
          </w:p>
        </w:tc>
      </w:tr>
    </w:tbl>
    <w:p w14:paraId="3C23A286" w14:textId="77777777" w:rsidR="00A77B3E" w:rsidRDefault="00A77B3E">
      <w:pPr>
        <w:keepNext/>
        <w:sectPr w:rsidR="00A77B3E">
          <w:footerReference w:type="default" r:id="rId6"/>
          <w:endnotePr>
            <w:numFmt w:val="decimal"/>
          </w:endnotePr>
          <w:pgSz w:w="11906" w:h="16838"/>
          <w:pgMar w:top="850" w:right="850" w:bottom="1417" w:left="850" w:header="708" w:footer="708" w:gutter="0"/>
          <w:cols w:space="708"/>
          <w:docGrid w:linePitch="360"/>
        </w:sectPr>
      </w:pPr>
    </w:p>
    <w:p w14:paraId="3E1EBEA1" w14:textId="77777777" w:rsidR="00B715A2" w:rsidRDefault="00B715A2">
      <w:pPr>
        <w:rPr>
          <w:szCs w:val="20"/>
        </w:rPr>
      </w:pPr>
    </w:p>
    <w:p w14:paraId="3C83F90F" w14:textId="77777777" w:rsidR="00B715A2" w:rsidRDefault="00886B8B">
      <w:pPr>
        <w:jc w:val="center"/>
        <w:rPr>
          <w:szCs w:val="20"/>
        </w:rPr>
      </w:pPr>
      <w:r>
        <w:rPr>
          <w:b/>
          <w:szCs w:val="20"/>
        </w:rPr>
        <w:t>Uzasadnienie</w:t>
      </w:r>
    </w:p>
    <w:p w14:paraId="2DF694BC" w14:textId="77777777" w:rsidR="00B715A2" w:rsidRDefault="00886B8B">
      <w:pPr>
        <w:spacing w:before="120" w:after="120"/>
        <w:ind w:firstLine="227"/>
        <w:jc w:val="center"/>
        <w:rPr>
          <w:color w:val="000000"/>
          <w:szCs w:val="20"/>
          <w:u w:color="000000"/>
        </w:rPr>
      </w:pPr>
      <w:r>
        <w:rPr>
          <w:b/>
          <w:szCs w:val="20"/>
        </w:rPr>
        <w:t>do uchwały nr XLV/519/22</w:t>
      </w:r>
    </w:p>
    <w:p w14:paraId="67B4B36E" w14:textId="77777777" w:rsidR="00B715A2" w:rsidRDefault="00886B8B">
      <w:pPr>
        <w:spacing w:before="120" w:after="120"/>
        <w:ind w:firstLine="227"/>
        <w:jc w:val="center"/>
        <w:rPr>
          <w:color w:val="000000"/>
          <w:szCs w:val="20"/>
          <w:u w:color="000000"/>
        </w:rPr>
      </w:pPr>
      <w:r>
        <w:rPr>
          <w:b/>
          <w:color w:val="000000"/>
          <w:szCs w:val="20"/>
          <w:u w:color="000000"/>
        </w:rPr>
        <w:t>Rady Miejskiej w Gostyniu</w:t>
      </w:r>
    </w:p>
    <w:p w14:paraId="1A547993" w14:textId="77777777" w:rsidR="00B715A2" w:rsidRDefault="00886B8B">
      <w:pPr>
        <w:spacing w:before="120" w:after="120"/>
        <w:ind w:firstLine="227"/>
        <w:jc w:val="center"/>
        <w:rPr>
          <w:color w:val="000000"/>
          <w:szCs w:val="20"/>
          <w:u w:color="000000"/>
        </w:rPr>
      </w:pPr>
      <w:r>
        <w:rPr>
          <w:b/>
          <w:color w:val="000000"/>
          <w:szCs w:val="20"/>
          <w:u w:color="000000"/>
        </w:rPr>
        <w:t xml:space="preserve">z dnia 24 listopada 2022 roku </w:t>
      </w:r>
      <w:r>
        <w:rPr>
          <w:b/>
          <w:color w:val="000000"/>
          <w:szCs w:val="20"/>
          <w:u w:color="000000"/>
        </w:rPr>
        <w:br/>
      </w:r>
    </w:p>
    <w:p w14:paraId="35C8C47C" w14:textId="77777777" w:rsidR="00B715A2" w:rsidRDefault="00886B8B">
      <w:pPr>
        <w:spacing w:before="120" w:after="120"/>
        <w:ind w:firstLine="227"/>
        <w:jc w:val="center"/>
        <w:rPr>
          <w:color w:val="000000"/>
          <w:szCs w:val="20"/>
          <w:u w:color="000000"/>
        </w:rPr>
      </w:pPr>
      <w:r>
        <w:rPr>
          <w:b/>
          <w:color w:val="000000"/>
          <w:szCs w:val="20"/>
          <w:u w:color="000000"/>
        </w:rPr>
        <w:t xml:space="preserve">w sprawie zmiany wysokości </w:t>
      </w:r>
      <w:r>
        <w:rPr>
          <w:b/>
          <w:color w:val="000000"/>
          <w:szCs w:val="20"/>
          <w:u w:color="000000"/>
        </w:rPr>
        <w:t>wskaźników limitujących wysokość dodatku mieszkaniowego</w:t>
      </w:r>
    </w:p>
    <w:p w14:paraId="722698D8" w14:textId="77777777" w:rsidR="00B715A2" w:rsidRDefault="00886B8B">
      <w:pPr>
        <w:keepNext/>
        <w:keepLines/>
        <w:spacing w:before="120" w:after="120"/>
        <w:ind w:firstLine="227"/>
        <w:rPr>
          <w:color w:val="000000"/>
          <w:szCs w:val="20"/>
          <w:u w:color="000000"/>
        </w:rPr>
      </w:pPr>
      <w:r>
        <w:rPr>
          <w:color w:val="000000"/>
          <w:szCs w:val="20"/>
          <w:u w:color="000000"/>
        </w:rPr>
        <w:t>Wypłata dodatków mieszkaniowych jest zadaniem własnym gminy i w całości finansowana jest z budżetu gminy. Zgodnie z zapisami art. 6 ust. 11 ustawy z dnia 21 czerwca 2001r. o dodatkach mieszkaniowych (</w:t>
      </w:r>
      <w:r>
        <w:rPr>
          <w:color w:val="000000"/>
          <w:szCs w:val="20"/>
          <w:u w:color="000000"/>
        </w:rPr>
        <w:t>tekst jednolity Dz.U. z 2021 r. poz. 2021 ze zm.) istnieje możliwość podjęcia przez Radę Gminy uchwały o ustaleniu wskaźników procentowych, na podstawie których obniża się wysokość dodatków mieszkaniowych, maksymalnie o 20 punktów procentowych. Ustawa o do</w:t>
      </w:r>
      <w:r>
        <w:rPr>
          <w:color w:val="000000"/>
          <w:szCs w:val="20"/>
          <w:u w:color="000000"/>
        </w:rPr>
        <w:t>datkach mieszkaniowych z dnia 21 czerwca 2001r. określa, że wysokość dodatku mieszkaniowego łącznie z ryczałtem, z tytułu braku centralnego ogrzewania, centralnej ciepłej wody i gazu przewodowego, nie może przekroczyć 70% wydatków przypadających na normaty</w:t>
      </w:r>
      <w:r>
        <w:rPr>
          <w:color w:val="000000"/>
          <w:szCs w:val="20"/>
          <w:u w:color="000000"/>
        </w:rPr>
        <w:t>wną powierzchnię zajmowanego lokalu mieszkalnego lub faktycznych wydatków ponoszonych za lokal mieszkalny, jeżeli powierzchnia lokalu jest mniejsza lub równa normatywnej powierzchni. Biorąc pod uwagę możliwości finansowe Gminy Gostyń, wzrost wydatków ponos</w:t>
      </w:r>
      <w:r>
        <w:rPr>
          <w:color w:val="000000"/>
          <w:szCs w:val="20"/>
          <w:u w:color="000000"/>
        </w:rPr>
        <w:t>zonych w związku z zajmowaniem lokali mieszkalnych oraz ciągły wzrost kwot przyznawanych dodatków mieszkaniowych, obniża się o 20 punktów procentowych wysokość wskaźników procentowych przy obliczeniu dodatku mieszkaniowego. Obniżka będzie dotyczyła wniosko</w:t>
      </w:r>
      <w:r>
        <w:rPr>
          <w:color w:val="000000"/>
          <w:szCs w:val="20"/>
          <w:u w:color="000000"/>
        </w:rPr>
        <w:t>dawców, którzy złożą wnioski po wejściu w życie powyższej uchwały. Gospodarstwa domowe, którym przyznano dodatek mieszkaniowy na dotychczasowych zasadach będą otrzymywać dodatek w niezmienionej wysokości zgodnie z wydaną decyzją o przyznaniu dodatku mieszk</w:t>
      </w:r>
      <w:r>
        <w:rPr>
          <w:color w:val="000000"/>
          <w:szCs w:val="20"/>
          <w:u w:color="000000"/>
        </w:rPr>
        <w:t>aniowego. Mając na uwadze potrzebę racjonalnego rozłożenia środków na realizację innych zadań własnych Gminy, podjęcie uchwały jest zasadne.</w:t>
      </w:r>
    </w:p>
    <w:p w14:paraId="4DC28177" w14:textId="77777777" w:rsidR="00B715A2" w:rsidRDefault="00886B8B">
      <w:pPr>
        <w:keepNext/>
        <w:rPr>
          <w:color w:val="000000"/>
          <w:szCs w:val="20"/>
          <w:u w:color="000000"/>
        </w:rPr>
      </w:pPr>
      <w:r>
        <w:rPr>
          <w:color w:val="000000"/>
          <w:szCs w:val="20"/>
        </w:rPr>
        <w:t> </w:t>
      </w:r>
    </w:p>
    <w:tbl>
      <w:tblPr>
        <w:tblW w:w="5000" w:type="pct"/>
        <w:tblLayout w:type="fixed"/>
        <w:tblCellMar>
          <w:left w:w="0" w:type="dxa"/>
          <w:right w:w="0" w:type="dxa"/>
        </w:tblCellMar>
        <w:tblLook w:val="04A0" w:firstRow="1" w:lastRow="0" w:firstColumn="1" w:lastColumn="0" w:noHBand="0" w:noVBand="1"/>
      </w:tblPr>
      <w:tblGrid>
        <w:gridCol w:w="5103"/>
        <w:gridCol w:w="5103"/>
      </w:tblGrid>
      <w:tr w:rsidR="00B715A2" w14:paraId="7B17E393" w14:textId="77777777">
        <w:tc>
          <w:tcPr>
            <w:tcW w:w="5100" w:type="dxa"/>
            <w:tcMar>
              <w:top w:w="0" w:type="dxa"/>
              <w:left w:w="0" w:type="dxa"/>
              <w:bottom w:w="0" w:type="dxa"/>
              <w:right w:w="0" w:type="dxa"/>
            </w:tcMar>
            <w:hideMark/>
          </w:tcPr>
          <w:p w14:paraId="39ED9AC2" w14:textId="77777777" w:rsidR="00B715A2" w:rsidRDefault="00B715A2">
            <w:pPr>
              <w:jc w:val="left"/>
              <w:rPr>
                <w:color w:val="000000"/>
                <w:szCs w:val="20"/>
              </w:rPr>
            </w:pPr>
          </w:p>
        </w:tc>
        <w:tc>
          <w:tcPr>
            <w:tcW w:w="5100" w:type="dxa"/>
            <w:tcMar>
              <w:top w:w="0" w:type="dxa"/>
              <w:left w:w="0" w:type="dxa"/>
              <w:bottom w:w="0" w:type="dxa"/>
              <w:right w:w="0" w:type="dxa"/>
            </w:tcMar>
            <w:hideMark/>
          </w:tcPr>
          <w:p w14:paraId="6B56C6DC" w14:textId="77777777" w:rsidR="00B715A2" w:rsidRDefault="00886B8B">
            <w:pPr>
              <w:keepNext/>
              <w:keepLines/>
              <w:spacing w:before="560" w:after="560"/>
              <w:ind w:left="1134" w:right="1134"/>
              <w:jc w:val="center"/>
              <w:rPr>
                <w:b/>
                <w:color w:val="000000"/>
                <w:szCs w:val="20"/>
              </w:rPr>
            </w:pPr>
            <w:r>
              <w:rPr>
                <w:color w:val="000000"/>
                <w:szCs w:val="20"/>
              </w:rPr>
              <w:fldChar w:fldCharType="begin"/>
            </w:r>
            <w:r>
              <w:rPr>
                <w:color w:val="000000"/>
                <w:szCs w:val="20"/>
              </w:rPr>
              <w:instrText>MERGEFIELD SIGNATURE_0_0__FUNCTION \* MERGEFORMAT</w:instrText>
            </w:r>
            <w:r>
              <w:rPr>
                <w:color w:val="000000"/>
                <w:szCs w:val="20"/>
              </w:rPr>
              <w:fldChar w:fldCharType="separate"/>
            </w:r>
            <w:r>
              <w:rPr>
                <w:color w:val="000000"/>
                <w:szCs w:val="20"/>
              </w:rPr>
              <w:t>Przewodniczący Rady Miejskiej</w:t>
            </w:r>
            <w:r>
              <w:rPr>
                <w:color w:val="000000"/>
                <w:szCs w:val="20"/>
              </w:rPr>
              <w:fldChar w:fldCharType="end"/>
            </w:r>
            <w:r>
              <w:rPr>
                <w:color w:val="000000"/>
                <w:szCs w:val="20"/>
              </w:rPr>
              <w:br/>
            </w:r>
            <w:r>
              <w:rPr>
                <w:color w:val="000000"/>
                <w:szCs w:val="20"/>
              </w:rPr>
              <w:br/>
            </w:r>
            <w:r>
              <w:rPr>
                <w:color w:val="000000"/>
                <w:szCs w:val="20"/>
              </w:rPr>
              <w:br/>
            </w:r>
            <w:r>
              <w:rPr>
                <w:b/>
                <w:color w:val="000000"/>
                <w:szCs w:val="20"/>
              </w:rPr>
              <w:fldChar w:fldCharType="begin"/>
            </w:r>
            <w:r>
              <w:rPr>
                <w:b/>
                <w:color w:val="000000"/>
                <w:szCs w:val="20"/>
              </w:rPr>
              <w:instrText>MERGEFIELD SIGNATURE_0_0_FIR</w:instrText>
            </w:r>
            <w:r>
              <w:rPr>
                <w:b/>
                <w:color w:val="000000"/>
                <w:szCs w:val="20"/>
              </w:rPr>
              <w:instrText>STNAME \* MERGEFORMAT</w:instrText>
            </w:r>
            <w:r>
              <w:rPr>
                <w:b/>
                <w:color w:val="000000"/>
                <w:szCs w:val="20"/>
              </w:rPr>
              <w:fldChar w:fldCharType="separate"/>
            </w:r>
            <w:r>
              <w:rPr>
                <w:b/>
                <w:color w:val="000000"/>
                <w:szCs w:val="20"/>
              </w:rPr>
              <w:t>Mirosław</w:t>
            </w:r>
            <w:r>
              <w:rPr>
                <w:b/>
                <w:color w:val="000000"/>
                <w:szCs w:val="20"/>
              </w:rPr>
              <w:fldChar w:fldCharType="end"/>
            </w:r>
            <w:r>
              <w:rPr>
                <w:b/>
                <w:color w:val="000000"/>
                <w:szCs w:val="20"/>
              </w:rPr>
              <w:t> </w:t>
            </w:r>
            <w:r>
              <w:rPr>
                <w:b/>
                <w:color w:val="000000"/>
                <w:szCs w:val="20"/>
              </w:rPr>
              <w:fldChar w:fldCharType="begin"/>
            </w:r>
            <w:r>
              <w:rPr>
                <w:b/>
                <w:color w:val="000000"/>
                <w:szCs w:val="20"/>
              </w:rPr>
              <w:instrText>MERGEFIELD SIGNATURE_0_0_LASTNAME \* MERGEFORMAT</w:instrText>
            </w:r>
            <w:r>
              <w:rPr>
                <w:b/>
                <w:color w:val="000000"/>
                <w:szCs w:val="20"/>
              </w:rPr>
              <w:fldChar w:fldCharType="separate"/>
            </w:r>
            <w:r>
              <w:rPr>
                <w:b/>
                <w:color w:val="000000"/>
                <w:szCs w:val="20"/>
              </w:rPr>
              <w:t>Żywicki</w:t>
            </w:r>
            <w:r>
              <w:rPr>
                <w:b/>
                <w:color w:val="000000"/>
                <w:szCs w:val="20"/>
              </w:rPr>
              <w:fldChar w:fldCharType="end"/>
            </w:r>
            <w:r>
              <w:rPr>
                <w:b/>
                <w:color w:val="000000"/>
                <w:szCs w:val="20"/>
              </w:rPr>
              <w:t> </w:t>
            </w:r>
          </w:p>
        </w:tc>
      </w:tr>
    </w:tbl>
    <w:p w14:paraId="5E826FC4" w14:textId="77777777" w:rsidR="00B715A2" w:rsidRDefault="00B715A2">
      <w:pPr>
        <w:keepNext/>
        <w:rPr>
          <w:color w:val="000000"/>
          <w:szCs w:val="20"/>
          <w:u w:color="000000"/>
        </w:rPr>
      </w:pPr>
    </w:p>
    <w:sectPr w:rsidR="00B715A2">
      <w:footerReference w:type="default" r:id="rId7"/>
      <w:endnotePr>
        <w:numFmt w:val="decimal"/>
      </w:endnotePr>
      <w:pgSz w:w="11906" w:h="16838"/>
      <w:pgMar w:top="850"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1666" w14:textId="77777777" w:rsidR="00000000" w:rsidRDefault="00886B8B">
      <w:r>
        <w:separator/>
      </w:r>
    </w:p>
  </w:endnote>
  <w:endnote w:type="continuationSeparator" w:id="0">
    <w:p w14:paraId="6D2B6680" w14:textId="77777777" w:rsidR="00000000" w:rsidRDefault="0088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B715A2" w14:paraId="29FAB8B9" w14:textId="77777777">
      <w:tc>
        <w:tcPr>
          <w:tcW w:w="6804" w:type="dxa"/>
          <w:tcBorders>
            <w:top w:val="nil"/>
            <w:left w:val="nil"/>
            <w:bottom w:val="nil"/>
            <w:right w:val="nil"/>
          </w:tcBorders>
          <w:tcMar>
            <w:top w:w="100" w:type="dxa"/>
            <w:left w:w="0" w:type="dxa"/>
            <w:bottom w:w="0" w:type="dxa"/>
            <w:right w:w="0" w:type="dxa"/>
          </w:tcMar>
          <w:hideMark/>
        </w:tcPr>
        <w:p w14:paraId="1347EE2E" w14:textId="77777777" w:rsidR="00B715A2" w:rsidRDefault="00886B8B">
          <w:pPr>
            <w:jc w:val="left"/>
            <w:rPr>
              <w:sz w:val="18"/>
            </w:rPr>
          </w:pPr>
          <w:r>
            <w:rPr>
              <w:sz w:val="18"/>
            </w:rPr>
            <w:t>Id: F481FA17-B522-49DE-BF1D-06D34D2280B5. Podpisany</w:t>
          </w:r>
        </w:p>
      </w:tc>
      <w:tc>
        <w:tcPr>
          <w:tcW w:w="3402" w:type="dxa"/>
          <w:tcBorders>
            <w:top w:val="nil"/>
            <w:left w:val="nil"/>
            <w:bottom w:val="nil"/>
            <w:right w:val="nil"/>
          </w:tcBorders>
          <w:tcMar>
            <w:top w:w="100" w:type="dxa"/>
            <w:left w:w="0" w:type="dxa"/>
            <w:bottom w:w="0" w:type="dxa"/>
            <w:right w:w="0" w:type="dxa"/>
          </w:tcMar>
          <w:hideMark/>
        </w:tcPr>
        <w:p w14:paraId="49890E69" w14:textId="77777777" w:rsidR="00B715A2" w:rsidRDefault="00886B8B">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128D5E3D" w14:textId="77777777" w:rsidR="00B715A2" w:rsidRDefault="00B715A2">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B715A2" w14:paraId="45EAAB65" w14:textId="77777777">
      <w:tc>
        <w:tcPr>
          <w:tcW w:w="6804" w:type="dxa"/>
          <w:tcBorders>
            <w:top w:val="nil"/>
            <w:left w:val="nil"/>
            <w:bottom w:val="nil"/>
            <w:right w:val="nil"/>
          </w:tcBorders>
          <w:tcMar>
            <w:top w:w="100" w:type="dxa"/>
            <w:left w:w="0" w:type="dxa"/>
            <w:bottom w:w="0" w:type="dxa"/>
            <w:right w:w="0" w:type="dxa"/>
          </w:tcMar>
          <w:hideMark/>
        </w:tcPr>
        <w:p w14:paraId="3FD0B9FE" w14:textId="77777777" w:rsidR="00B715A2" w:rsidRDefault="00886B8B">
          <w:pPr>
            <w:jc w:val="left"/>
            <w:rPr>
              <w:sz w:val="18"/>
            </w:rPr>
          </w:pPr>
          <w:r>
            <w:rPr>
              <w:sz w:val="18"/>
            </w:rPr>
            <w:t>Id: F481FA17-B522-49DE-BF1D-06D34D2280B5. Podpisany</w:t>
          </w:r>
        </w:p>
      </w:tc>
      <w:tc>
        <w:tcPr>
          <w:tcW w:w="3402" w:type="dxa"/>
          <w:tcBorders>
            <w:top w:val="nil"/>
            <w:left w:val="nil"/>
            <w:bottom w:val="nil"/>
            <w:right w:val="nil"/>
          </w:tcBorders>
          <w:tcMar>
            <w:top w:w="100" w:type="dxa"/>
            <w:left w:w="0" w:type="dxa"/>
            <w:bottom w:w="0" w:type="dxa"/>
            <w:right w:w="0" w:type="dxa"/>
          </w:tcMar>
          <w:hideMark/>
        </w:tcPr>
        <w:p w14:paraId="457C2029" w14:textId="77777777" w:rsidR="00B715A2" w:rsidRDefault="00886B8B">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2</w:t>
          </w:r>
          <w:r>
            <w:rPr>
              <w:sz w:val="18"/>
            </w:rPr>
            <w:fldChar w:fldCharType="end"/>
          </w:r>
        </w:p>
      </w:tc>
    </w:tr>
  </w:tbl>
  <w:p w14:paraId="56BE2E1D" w14:textId="77777777" w:rsidR="00B715A2" w:rsidRDefault="00B715A2">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ABA9" w14:textId="77777777" w:rsidR="00000000" w:rsidRDefault="00886B8B">
      <w:r>
        <w:separator/>
      </w:r>
    </w:p>
  </w:footnote>
  <w:footnote w:type="continuationSeparator" w:id="0">
    <w:p w14:paraId="20A42E5F" w14:textId="77777777" w:rsidR="00000000" w:rsidRDefault="00886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886B8B"/>
    <w:rsid w:val="00A77B3E"/>
    <w:rsid w:val="00B715A2"/>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D243D"/>
  <w15:docId w15:val="{4F386D53-C00D-40F2-B975-3A7B1D28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Rada Miejska w Gostyniu</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XLV/519/22 z dnia 24 listopada 2022 r.</dc:title>
  <dc:subject>w sprawie zmiany wysokości wskaźników limitujących wysokość dodatku mieszkaniowego</dc:subject>
  <dc:creator>mmajewska</dc:creator>
  <cp:lastModifiedBy>Milena Majewska</cp:lastModifiedBy>
  <cp:revision>2</cp:revision>
  <dcterms:created xsi:type="dcterms:W3CDTF">2022-11-29T13:43:00Z</dcterms:created>
  <dcterms:modified xsi:type="dcterms:W3CDTF">2022-11-29T13:43:00Z</dcterms:modified>
  <cp:category>Akt prawny</cp:category>
</cp:coreProperties>
</file>