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BE97" w14:textId="77777777" w:rsidR="00A77B3E" w:rsidRDefault="002B378E">
      <w:pPr>
        <w:jc w:val="center"/>
        <w:rPr>
          <w:b/>
          <w:caps/>
        </w:rPr>
      </w:pPr>
      <w:r>
        <w:rPr>
          <w:b/>
          <w:caps/>
        </w:rPr>
        <w:t>Uchwała Nr XLII/492/22</w:t>
      </w:r>
      <w:r>
        <w:rPr>
          <w:b/>
          <w:caps/>
        </w:rPr>
        <w:br/>
        <w:t>Rady Miejskiej w Gostyniu</w:t>
      </w:r>
    </w:p>
    <w:p w14:paraId="766F7082" w14:textId="77777777" w:rsidR="00A77B3E" w:rsidRDefault="002B378E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2C3C1A46" w14:textId="77777777" w:rsidR="00A77B3E" w:rsidRDefault="002B378E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18C8AA67" w14:textId="77777777" w:rsidR="00A77B3E" w:rsidRDefault="002B378E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2022 r. poz. 559 ze zmianami) oraz art. 37 ust. 4 ustawy z dnia 21 sierpnia 1997 r. o gospodarce nieruchomościami (tekst jednolity Dz.U. z 2021 r. poz. 1899 ze zmianą)</w:t>
      </w:r>
    </w:p>
    <w:p w14:paraId="653DE305" w14:textId="77777777" w:rsidR="00A77B3E" w:rsidRDefault="002B378E">
      <w:pPr>
        <w:spacing w:before="120" w:after="120"/>
        <w:ind w:firstLine="227"/>
        <w:jc w:val="center"/>
      </w:pPr>
      <w:r>
        <w:t>Rada Miejska w Gostyniu uchwala</w:t>
      </w:r>
      <w:r>
        <w:t>, co następuje:</w:t>
      </w:r>
    </w:p>
    <w:p w14:paraId="123B1A19" w14:textId="77777777" w:rsidR="00A77B3E" w:rsidRDefault="002B3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zgodę na odstąpienie od obowiązku przetargowego trybu zawarcia umowy najmu części nieruchomości oznaczonej jako działka nr 1104/3, zapisanej w KW PO1Y/00036734/5, zabudowanej ciągiem garaży szeregowych - stanowisko garażowe </w:t>
      </w:r>
      <w:r>
        <w:t>nr 9 oraz grunt przed nim o łącznej powierzchni 39,30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), położonej w Gostyniu przy ul. Gawrony, stanowiącej własność Gminy Gostyń na czas nieoznaczony. </w:t>
      </w:r>
    </w:p>
    <w:p w14:paraId="0064FE6A" w14:textId="77777777" w:rsidR="00A77B3E" w:rsidRDefault="002B3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D80C701" w14:textId="77777777" w:rsidR="00A77B3E" w:rsidRDefault="002B378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</w:t>
      </w:r>
      <w:r>
        <w:rPr>
          <w:color w:val="000000"/>
          <w:u w:color="000000"/>
        </w:rPr>
        <w:t>ała wchodzi w życie z dniem podjęcia.</w:t>
      </w:r>
    </w:p>
    <w:p w14:paraId="105F486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26A8EBC" w14:textId="77777777" w:rsidR="00A77B3E" w:rsidRDefault="002B378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07D4E" w14:paraId="39DFA66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295EB" w14:textId="77777777" w:rsidR="00E07D4E" w:rsidRDefault="00E07D4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E271F" w14:textId="77777777" w:rsidR="00E07D4E" w:rsidRDefault="002B37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4009F7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6F208A5" w14:textId="77777777" w:rsidR="00E07D4E" w:rsidRDefault="00E07D4E">
      <w:pPr>
        <w:rPr>
          <w:szCs w:val="20"/>
        </w:rPr>
      </w:pPr>
    </w:p>
    <w:p w14:paraId="7E42842B" w14:textId="77777777" w:rsidR="00E07D4E" w:rsidRDefault="002B378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8D56AD8" w14:textId="77777777" w:rsidR="00E07D4E" w:rsidRDefault="002B378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XLII/492/22</w:t>
      </w:r>
    </w:p>
    <w:p w14:paraId="0E70B8D0" w14:textId="77777777" w:rsidR="00E07D4E" w:rsidRDefault="002B378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156EBCF6" w14:textId="77777777" w:rsidR="00E07D4E" w:rsidRDefault="002B378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 r.</w:t>
      </w:r>
    </w:p>
    <w:p w14:paraId="5453E216" w14:textId="77777777" w:rsidR="00E07D4E" w:rsidRDefault="002B378E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31155317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</w:t>
      </w:r>
      <w:r>
        <w:rPr>
          <w:szCs w:val="20"/>
        </w:rPr>
        <w:t>ciwości rady gminy należy podejmowanie uchwał w sprawach majątkowych gminy, przekraczających zakres zwykłego zarządu, dotyczących między innymi zasad wynajmowania nieruchomości gminnych na czas nieoznaczony.</w:t>
      </w:r>
    </w:p>
    <w:p w14:paraId="1A215ED1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Stosownie do art. 37 ust. 4 ustawy o gospodarce </w:t>
      </w:r>
      <w:r>
        <w:rPr>
          <w:szCs w:val="20"/>
        </w:rPr>
        <w:t>nieruchomościami, odstąpienie od trybu przetargowego zawarcia umowy najmu na czas nieoznaczony wymaga zgody rady miejskiej.</w:t>
      </w:r>
    </w:p>
    <w:p w14:paraId="0D3F3A04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31.12.202</w:t>
      </w:r>
      <w:r>
        <w:rPr>
          <w:szCs w:val="20"/>
        </w:rPr>
        <w:t>2 r. Najemca wystąpił z wnioskiem o możliwość dalszego wynajmowania gruntu. Teren, o którym mowa w uchwale położony jest w Gostyniu przy ul. Gawrony.</w:t>
      </w:r>
    </w:p>
    <w:p w14:paraId="4DA166DF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43F4546D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</w:t>
      </w:r>
      <w:r>
        <w:rPr>
          <w:szCs w:val="20"/>
        </w:rPr>
        <w:t>y na czas nieoznaczony umożliwi Gminie Gostyń jej rozwiązanie w każdym czasie z zachowaniem terminów prawem przewidzianych.</w:t>
      </w:r>
    </w:p>
    <w:p w14:paraId="0F57A428" w14:textId="77777777" w:rsidR="00E07D4E" w:rsidRDefault="002B378E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30413BBE" w14:textId="77777777" w:rsidR="00E07D4E" w:rsidRDefault="00E07D4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07D4E" w14:paraId="51D56EAC" w14:textId="77777777">
        <w:tc>
          <w:tcPr>
            <w:tcW w:w="2500" w:type="pct"/>
            <w:tcBorders>
              <w:right w:val="nil"/>
            </w:tcBorders>
          </w:tcPr>
          <w:p w14:paraId="519DBE1E" w14:textId="77777777" w:rsidR="00E07D4E" w:rsidRDefault="00E07D4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B93536D" w14:textId="77777777" w:rsidR="00E07D4E" w:rsidRDefault="002B378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Przewodniczący Rady </w:t>
            </w:r>
            <w:r>
              <w:rPr>
                <w:szCs w:val="20"/>
              </w:rPr>
              <w:t>Miejskiej</w:t>
            </w:r>
            <w:r>
              <w:rPr>
                <w:szCs w:val="20"/>
              </w:rPr>
              <w:fldChar w:fldCharType="end"/>
            </w:r>
          </w:p>
          <w:p w14:paraId="4DF43DDC" w14:textId="77777777" w:rsidR="00E07D4E" w:rsidRDefault="002B378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DF602C8" w14:textId="77777777" w:rsidR="00E07D4E" w:rsidRDefault="002B378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403A949" w14:textId="77777777" w:rsidR="00E07D4E" w:rsidRDefault="00E07D4E">
      <w:pPr>
        <w:spacing w:before="120" w:after="120"/>
        <w:ind w:firstLine="227"/>
        <w:rPr>
          <w:szCs w:val="20"/>
        </w:rPr>
      </w:pPr>
    </w:p>
    <w:sectPr w:rsidR="00E07D4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32E" w14:textId="77777777" w:rsidR="00000000" w:rsidRDefault="002B378E">
      <w:r>
        <w:separator/>
      </w:r>
    </w:p>
  </w:endnote>
  <w:endnote w:type="continuationSeparator" w:id="0">
    <w:p w14:paraId="6C9D04C2" w14:textId="77777777" w:rsidR="00000000" w:rsidRDefault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7D4E" w14:paraId="7D71239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2A177B" w14:textId="77777777" w:rsidR="00E07D4E" w:rsidRDefault="002B378E">
          <w:pPr>
            <w:jc w:val="left"/>
            <w:rPr>
              <w:sz w:val="18"/>
            </w:rPr>
          </w:pPr>
          <w:r>
            <w:rPr>
              <w:sz w:val="18"/>
            </w:rPr>
            <w:t>Id: 0545E65A-86CD-4B08-88E2-F2F23E6F0BEA.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D3B26F" w14:textId="77777777" w:rsidR="00E07D4E" w:rsidRDefault="002B37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702F53" w14:textId="77777777" w:rsidR="00E07D4E" w:rsidRDefault="00E07D4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7D4E" w14:paraId="0260BFF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AF239A" w14:textId="77777777" w:rsidR="00E07D4E" w:rsidRDefault="002B378E">
          <w:pPr>
            <w:jc w:val="left"/>
            <w:rPr>
              <w:sz w:val="18"/>
            </w:rPr>
          </w:pPr>
          <w:r>
            <w:rPr>
              <w:sz w:val="18"/>
            </w:rPr>
            <w:t>Id: 0545E65A-86CD-4B08-88E2-F2F23E6F0BEA.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F5A250" w14:textId="77777777" w:rsidR="00E07D4E" w:rsidRDefault="002B37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B12598" w14:textId="77777777" w:rsidR="00E07D4E" w:rsidRDefault="00E07D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FF1B" w14:textId="77777777" w:rsidR="00000000" w:rsidRDefault="002B378E">
      <w:r>
        <w:separator/>
      </w:r>
    </w:p>
  </w:footnote>
  <w:footnote w:type="continuationSeparator" w:id="0">
    <w:p w14:paraId="44844685" w14:textId="77777777" w:rsidR="00000000" w:rsidRDefault="002B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378E"/>
    <w:rsid w:val="00A77B3E"/>
    <w:rsid w:val="00CA2A55"/>
    <w:rsid w:val="00E0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E37E"/>
  <w15:docId w15:val="{93688451-994F-408D-84BF-A12D4BA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XLII/492/22 z dnia 22 września 2022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2022-09-27T12:43:00Z</dcterms:created>
  <dcterms:modified xsi:type="dcterms:W3CDTF">2022-09-27T12:43:00Z</dcterms:modified>
  <cp:category>Akt prawny</cp:category>
</cp:coreProperties>
</file>