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XXVII/326/21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Gostyniu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nr XXXVII/477/18 w sprawie zasad udzielania dotacji celowej ze środków budżetu Gminy Gostyń na dofinansowanie do budowy przydomowych oczyszczalni ścieków na terenie gminy Gostyń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ochrony środowiska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XXXVII/477/18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 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wprowadza się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punkty 1), 2)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3) otrzymują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rozporządzeniu Komisji  (UE) nr 1407/2013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funkcjonowaniu Unii Europejskiej do pomocy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de minimis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(Dz. Urz.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 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roku), zmienionego Rozporządzeniem Komisji (UE) 2020/972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zmieniającym rozporządzenie (UE) nr 1407/2013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jego przedłużenia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odpowiednich dostosowań (Dz. Urz. UE L nr 215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 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roku).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 1408/2013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funkcjonowaniu Unii Europejskiej do pomocy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de minimis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sektorze rolnym (Dz. Urz.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 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roku), zmienionego Rozporządzeniem Komisji (UE) 2019/316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 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przedłużającym okres jego stosowania (Dz. Urz. UE L 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 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 717/2014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funkcjonowaniu Unii Europejskiej do pomocy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de minimis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rybołówstwa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akwakultury (Dz. Urz. UE L nr 190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 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roku), zmienionego Rozporządzeniem Komisji (UE) 2020/2008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 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zmieniające rozporządzenie (UE) 717/2014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okresu ich stosowania oraz innych odpowiednich dostosowań (Dz. Urz. UE L 414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 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Pomoc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de minimis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będzie udzielana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uchwale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rolnym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sektorze rybołówstwa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akwakultury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Gostynia.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Mirosław Żywicki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UCHWAŁY NR XXVII/326/21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RADY MIEJSKIEJ W GOSTYNIU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z dnia 20 maja 2021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zmieniająca uchwałę nr XXXVII/477/18 w sprawie zasad udzielania dotacji celowej ze środków budżetu Gminy Gostyń na dofinansowanie do budowy przydomowych oczyszczalni ścieków na terenie gminy Gostyń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Celem zmiany uchwały nr XXXVII/477/18 Rady Miejskiej w Gostyniu z 22 marca 2018 roku w sprawie zasad udzielania dotacji celowej ze środków budżetu Gminy Gostyń na dofinansowanie do budowy przydomowych oczyszczalni ścieków na terenie gminy Gostyń jest dostosowanie w niej zapisów do zmienionych rozporządzeń Komisji UE w zakresie udzielania dotacji stanowiącej pomoc </w:t>
      </w:r>
      <w:r>
        <w:rPr>
          <w:i/>
          <w:color w:val="000000"/>
          <w:szCs w:val="20"/>
          <w:u w:color="000000"/>
        </w:rPr>
        <w:t xml:space="preserve">de minimis, </w:t>
      </w:r>
      <w:r>
        <w:rPr>
          <w:color w:val="000000"/>
          <w:szCs w:val="20"/>
          <w:u w:color="000000"/>
        </w:rPr>
        <w:t xml:space="preserve">pomoc </w:t>
      </w:r>
      <w:r>
        <w:rPr>
          <w:i/>
          <w:color w:val="000000"/>
          <w:szCs w:val="20"/>
          <w:u w:color="000000"/>
        </w:rPr>
        <w:t>de minimis</w:t>
      </w:r>
      <w:r>
        <w:rPr>
          <w:color w:val="000000"/>
          <w:szCs w:val="20"/>
          <w:u w:color="000000"/>
        </w:rPr>
        <w:t xml:space="preserve"> w sektorze rolnym oraz pomoc </w:t>
      </w:r>
      <w:r>
        <w:rPr>
          <w:i/>
          <w:color w:val="000000"/>
          <w:szCs w:val="20"/>
          <w:u w:color="000000"/>
        </w:rPr>
        <w:t>de minimis</w:t>
      </w:r>
      <w:r>
        <w:rPr>
          <w:color w:val="000000"/>
          <w:szCs w:val="20"/>
          <w:u w:color="000000"/>
        </w:rPr>
        <w:t xml:space="preserve"> w sektorze rybołówstwa i akwakultury. 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7 ust. 3 i 3a ustawy z dnia 30 kwietnia 2004 roku o postępowaniu w sprawach dotyczących pomocy publicznej (tekst jednolity Dz. U. z 2021 r., poz. 743) projekt uchwały 9 lutego 2021 roku został przesłany do zaopiniowania do Prezesa Urzędu Ochrony Konkurencji i Konsumentów oraz Ministra Rolnictwa i Rozwoju Wsi. Prezes UOKiK przedstawił swoje zastrzeżenia w dniu 18 lutego 2021 roku w kwestii wskazania w uchwale okresu obowiązywania możliwości udzielania pomocy. W dniu 23 marca 2021 roku zmieniony projekt uchwały został ponownie przesłany do Prezesa Urzędu Ochrony Konkurencji i Konsumentów i Ministra Rolnictwa i Rozwoju Wsi. Prezes UOKiK przedstawił ponownie swoje stanowisko w dniu 24 marca 2021 roku. Minister Rolnictwa i Rozwoju Wsi przedstawił swoje stanowisko w dniu 12 kwietnia 2021 roku. Wyżej wymienione instytucje pozytywnie zaopiniowały zmieniony projekt uchwały.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podjęcie uchwały jest zasadne.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51030DF4-6089-4E08-8BA5-D40FEB257E40.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51030DF4-6089-4E08-8BA5-D40FEB257E40.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XXVII/326/21 z dnia 20 maja 2021 r.</dc:title>
  <dc:subject>zmieniająca uchwałę nr XXXVII/477/18 w^sprawie zasad udzielania dotacji celowej ze środków budżetu Gminy Gostyń na dofinansowanie do budowy przydomowych oczyszczalni ścieków na terenie gminy Gostyń</dc:subject>
  <dc:creator>mkrystkowiak</dc:creator>
  <cp:lastModifiedBy>mkrystkowiak</cp:lastModifiedBy>
  <cp:revision>1</cp:revision>
  <dcterms:created xsi:type="dcterms:W3CDTF">2021-05-31T09:44:57Z</dcterms:created>
  <dcterms:modified xsi:type="dcterms:W3CDTF">2021-05-31T09:44:57Z</dcterms:modified>
  <cp:category>Akt prawny</cp:category>
</cp:coreProperties>
</file>