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684D5F">
        <w:rPr>
          <w:rFonts w:ascii="Times New Roman" w:hAnsi="Times New Roman"/>
          <w:b/>
          <w:bCs/>
          <w:sz w:val="24"/>
          <w:szCs w:val="24"/>
        </w:rPr>
        <w:t>V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684D5F" w:rsidRDefault="00E906FD" w:rsidP="00684D5F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84D5F">
        <w:rPr>
          <w:rFonts w:ascii="Times New Roman" w:hAnsi="Times New Roman"/>
          <w:sz w:val="24"/>
          <w:szCs w:val="24"/>
        </w:rPr>
        <w:t>Przedmiotem umowy jest</w:t>
      </w:r>
      <w:r w:rsidR="000F1933" w:rsidRPr="00684D5F">
        <w:rPr>
          <w:rFonts w:ascii="Times New Roman" w:hAnsi="Times New Roman"/>
          <w:sz w:val="24"/>
          <w:szCs w:val="24"/>
        </w:rPr>
        <w:t xml:space="preserve"> </w:t>
      </w:r>
      <w:r w:rsidR="0077767F" w:rsidRPr="00684D5F">
        <w:rPr>
          <w:rFonts w:ascii="Times New Roman" w:hAnsi="Times New Roman"/>
          <w:sz w:val="24"/>
          <w:szCs w:val="24"/>
        </w:rPr>
        <w:t xml:space="preserve">przewóz regularny specjalny </w:t>
      </w:r>
      <w:r w:rsidR="00684D5F">
        <w:rPr>
          <w:rFonts w:ascii="Times New Roman" w:hAnsi="Times New Roman"/>
          <w:sz w:val="24"/>
          <w:szCs w:val="24"/>
        </w:rPr>
        <w:t xml:space="preserve">uczniów </w:t>
      </w:r>
      <w:r w:rsidR="0077767F" w:rsidRPr="00684D5F">
        <w:rPr>
          <w:rFonts w:ascii="Times New Roman" w:hAnsi="Times New Roman"/>
          <w:sz w:val="24"/>
          <w:szCs w:val="24"/>
        </w:rPr>
        <w:t xml:space="preserve">do </w:t>
      </w:r>
      <w:r w:rsidR="00684D5F">
        <w:rPr>
          <w:rFonts w:ascii="Times New Roman" w:hAnsi="Times New Roman"/>
          <w:sz w:val="24"/>
          <w:szCs w:val="24"/>
        </w:rPr>
        <w:t>Szkoły Podstawowej w Goli,</w:t>
      </w:r>
      <w:r w:rsidR="00684D5F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684D5F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684D5F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684D5F">
        <w:rPr>
          <w:rFonts w:ascii="Times New Roman" w:hAnsi="Times New Roman"/>
          <w:sz w:val="24"/>
          <w:szCs w:val="24"/>
        </w:rPr>
        <w:t xml:space="preserve"> oraz zapewnienie opieki podczas przejazdu na trasie Bronisławki – Gola (szkoła) - Bronisławki</w:t>
      </w:r>
      <w:r w:rsidR="00684D5F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84D5F"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 w:rsidRPr="00684D5F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775D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75D71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9577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143C58" w:rsidRDefault="00143C58" w:rsidP="00143C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143C58" w:rsidRPr="0011367D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(jeden tysiąc złotych brutto 0/100) za stwierdzony bus niezgodny z ofertą. Kara nie zostanie naliczona w przypadku awarii busa i konieczności szybkiego podstawienia pojazdu zastępczego.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 xml:space="preserve">. Mając na uwadze postanowienia art. 144 ust. 1 ustawy z dnia 29 stycznia 2004 r. – Prawo zamówień publicznych, zakazujące zmian postanowień zawartej umowy w stosunku do treści oferty, z zastrzeżeniem przewidywanych okoliczności określonych przez Zamawiających w </w:t>
      </w:r>
      <w:r w:rsidR="00072B78" w:rsidRPr="00AE2C00">
        <w:rPr>
          <w:rFonts w:ascii="Times New Roman" w:hAnsi="Times New Roman"/>
          <w:sz w:val="24"/>
          <w:szCs w:val="24"/>
        </w:rPr>
        <w:lastRenderedPageBreak/>
        <w:t>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lastRenderedPageBreak/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</w:t>
      </w:r>
      <w:r w:rsidRPr="00513A3A">
        <w:rPr>
          <w:rFonts w:ascii="Times New Roman" w:hAnsi="Times New Roman"/>
          <w:sz w:val="24"/>
          <w:szCs w:val="24"/>
        </w:rPr>
        <w:lastRenderedPageBreak/>
        <w:t xml:space="preserve">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321A5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84D5F"/>
    <w:rsid w:val="006A06D2"/>
    <w:rsid w:val="00700EE9"/>
    <w:rsid w:val="00726355"/>
    <w:rsid w:val="00737DF9"/>
    <w:rsid w:val="00761960"/>
    <w:rsid w:val="00775D71"/>
    <w:rsid w:val="0077767F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39D1C-3CEE-478C-B034-F150ABC6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1887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kmazurek</cp:lastModifiedBy>
  <cp:revision>10</cp:revision>
  <cp:lastPrinted>2017-11-21T12:52:00Z</cp:lastPrinted>
  <dcterms:created xsi:type="dcterms:W3CDTF">2020-09-01T19:36:00Z</dcterms:created>
  <dcterms:modified xsi:type="dcterms:W3CDTF">2020-09-02T11:57:00Z</dcterms:modified>
</cp:coreProperties>
</file>