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112935" w:rsidP="00647866">
      <w:pPr>
        <w:pStyle w:val="Tytu"/>
        <w:rPr>
          <w:b w:val="0"/>
        </w:rPr>
      </w:pPr>
      <w:r>
        <w:rPr>
          <w:b w:val="0"/>
        </w:rPr>
        <w:t>ZARZĄDZENIE</w:t>
      </w:r>
      <w:r w:rsidR="00CB2F70">
        <w:rPr>
          <w:b w:val="0"/>
        </w:rPr>
        <w:t xml:space="preserve"> NR</w:t>
      </w:r>
      <w:r>
        <w:rPr>
          <w:b w:val="0"/>
        </w:rPr>
        <w:t xml:space="preserve"> 428/</w:t>
      </w:r>
      <w:r w:rsidR="00607D02">
        <w:rPr>
          <w:b w:val="0"/>
        </w:rPr>
        <w:t>2016</w:t>
      </w:r>
    </w:p>
    <w:p w:rsidR="00647866" w:rsidRDefault="00112935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331780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 xml:space="preserve">Gostyniu przy ul. </w:t>
      </w:r>
      <w:r w:rsidR="001F7365">
        <w:rPr>
          <w:b w:val="0"/>
        </w:rPr>
        <w:t>Aleksandra Fredry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F07B0">
        <w:rPr>
          <w:sz w:val="24"/>
        </w:rPr>
        <w:t>28</w:t>
      </w:r>
      <w:r w:rsidR="00F5625A">
        <w:rPr>
          <w:sz w:val="24"/>
        </w:rPr>
        <w:t>6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1F7365">
        <w:rPr>
          <w:sz w:val="24"/>
        </w:rPr>
        <w:br/>
      </w:r>
      <w:r w:rsidR="00AA3A9D">
        <w:rPr>
          <w:sz w:val="24"/>
        </w:rPr>
        <w:t xml:space="preserve">ul. </w:t>
      </w:r>
      <w:r w:rsidR="001F7365">
        <w:rPr>
          <w:sz w:val="24"/>
        </w:rPr>
        <w:t>Aleksandra Fredry</w:t>
      </w:r>
    </w:p>
    <w:p w:rsidR="00607D02" w:rsidRPr="007D5228" w:rsidRDefault="00607D02" w:rsidP="00F646D9">
      <w:pPr>
        <w:spacing w:line="360" w:lineRule="auto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F646D9">
      <w:pPr>
        <w:spacing w:line="360" w:lineRule="auto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F646D9">
      <w:pPr>
        <w:spacing w:line="360" w:lineRule="auto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Pr="00955F74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 xml:space="preserve">Opracował: Joanna Czopik, inspektor </w:t>
      </w:r>
    </w:p>
    <w:p w:rsidR="00647866" w:rsidRDefault="00647866" w:rsidP="00647866">
      <w:pPr>
        <w:pStyle w:val="Tekstpodstawowy"/>
        <w:rPr>
          <w:rFonts w:cs="Tahoma"/>
          <w:color w:val="FFFFFF"/>
        </w:rPr>
      </w:pPr>
    </w:p>
    <w:p w:rsidR="00BB226C" w:rsidRDefault="00BB226C" w:rsidP="00BB226C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BB226C" w:rsidRDefault="00BB226C" w:rsidP="00BB226C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112935" w:rsidRDefault="00112935" w:rsidP="00647866">
      <w:pPr>
        <w:pStyle w:val="Tekstpodstawowy"/>
        <w:rPr>
          <w:rFonts w:cs="Tahoma"/>
          <w:color w:val="FFFFFF"/>
        </w:rPr>
      </w:pPr>
    </w:p>
    <w:p w:rsidR="00112935" w:rsidRDefault="00112935" w:rsidP="00647866">
      <w:pPr>
        <w:pStyle w:val="Tekstpodstawowy"/>
        <w:rPr>
          <w:rFonts w:cs="Tahoma"/>
          <w:color w:val="FFFFFF"/>
        </w:rPr>
      </w:pPr>
    </w:p>
    <w:p w:rsidR="00112935" w:rsidRDefault="00112935" w:rsidP="00647866">
      <w:pPr>
        <w:pStyle w:val="Tekstpodstawowy"/>
        <w:rPr>
          <w:rFonts w:cs="Tahoma"/>
          <w:color w:val="FFFFFF"/>
        </w:rPr>
      </w:pPr>
    </w:p>
    <w:p w:rsidR="00112935" w:rsidRPr="00955F74" w:rsidRDefault="00112935" w:rsidP="00647866">
      <w:pPr>
        <w:pStyle w:val="Tekstpodstawowy"/>
        <w:rPr>
          <w:rFonts w:cs="Tahoma"/>
          <w:color w:val="FFFFFF"/>
        </w:rPr>
      </w:pPr>
    </w:p>
    <w:p w:rsidR="00BB226C" w:rsidRDefault="00BB226C" w:rsidP="00647866">
      <w:pPr>
        <w:pStyle w:val="Tekstpodstawowy"/>
        <w:rPr>
          <w:color w:val="FFFFFF"/>
        </w:rPr>
      </w:pPr>
    </w:p>
    <w:p w:rsidR="00647866" w:rsidRPr="00666EB6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 xml:space="preserve"> prawnym: ......................................................</w:t>
      </w: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112935">
        <w:rPr>
          <w:b w:val="0"/>
        </w:rPr>
        <w:t>428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331780">
        <w:rPr>
          <w:b w:val="0"/>
        </w:rPr>
        <w:t>14 grudni</w:t>
      </w:r>
      <w:r w:rsidR="00112935">
        <w:rPr>
          <w:b w:val="0"/>
        </w:rPr>
        <w:t xml:space="preserve">a </w:t>
      </w:r>
      <w:r>
        <w:rPr>
          <w:b w:val="0"/>
        </w:rPr>
        <w:t>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 xml:space="preserve">Gostyniu przy ul. </w:t>
      </w:r>
      <w:r w:rsidR="001F7365">
        <w:rPr>
          <w:b w:val="0"/>
        </w:rPr>
        <w:t>Aleksandra Fredry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F5625A">
        <w:rPr>
          <w:sz w:val="24"/>
          <w:szCs w:val="24"/>
        </w:rPr>
        <w:t>197/43</w:t>
      </w:r>
      <w:r w:rsidR="00833897">
        <w:rPr>
          <w:sz w:val="24"/>
          <w:szCs w:val="24"/>
        </w:rPr>
        <w:t xml:space="preserve"> </w:t>
      </w:r>
      <w:r w:rsidR="00CC5326" w:rsidRPr="00CC5326">
        <w:rPr>
          <w:sz w:val="24"/>
          <w:szCs w:val="24"/>
        </w:rPr>
        <w:t>o powierzchni 0,</w:t>
      </w:r>
      <w:r w:rsidR="00CA0344">
        <w:rPr>
          <w:sz w:val="24"/>
          <w:szCs w:val="24"/>
        </w:rPr>
        <w:t>0</w:t>
      </w:r>
      <w:r w:rsidR="00F5625A">
        <w:rPr>
          <w:sz w:val="24"/>
          <w:szCs w:val="24"/>
        </w:rPr>
        <w:t>715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1F7365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165168" w:rsidRDefault="00647866" w:rsidP="0064786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BB226C" w:rsidRDefault="00BB226C" w:rsidP="00BB226C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BB226C" w:rsidRDefault="00BB226C" w:rsidP="00BB226C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F646D9" w:rsidRDefault="00F646D9">
      <w:pPr>
        <w:rPr>
          <w:sz w:val="24"/>
        </w:rPr>
      </w:pPr>
      <w:r>
        <w:rPr>
          <w:b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425C96">
        <w:rPr>
          <w:b w:val="0"/>
        </w:rPr>
        <w:t>428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331780">
        <w:rPr>
          <w:b w:val="0"/>
        </w:rPr>
        <w:t>14 grudnia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</w:t>
      </w:r>
      <w:r w:rsidR="001F7365">
        <w:rPr>
          <w:b w:val="0"/>
        </w:rPr>
        <w:t>Aleksandra Fredry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F646D9">
        <w:rPr>
          <w:b w:val="0"/>
        </w:rPr>
        <w:t>w trybie przetargowym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8"/>
        <w:gridCol w:w="6243"/>
      </w:tblGrid>
      <w:tr w:rsidR="00647866" w:rsidTr="00FB434D"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F5625A">
              <w:t>197/43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F5625A">
              <w:t>715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F5625A">
              <w:rPr>
                <w:sz w:val="24"/>
                <w:szCs w:val="24"/>
              </w:rPr>
              <w:t>715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401F88">
              <w:rPr>
                <w:sz w:val="24"/>
                <w:szCs w:val="24"/>
              </w:rPr>
              <w:t>Władysława Reymonta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F646D9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Opis nieruchomości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1F7365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F5625A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FB434D">
        <w:tc>
          <w:tcPr>
            <w:tcW w:w="3018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F646D9">
              <w:rPr>
                <w:sz w:val="24"/>
              </w:rPr>
              <w:t>przetargowym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1F7365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>tj. osobom, którym przysługuje roszczenie o nabycie nieruchomości z mocy ustawy o gospodarce nieruchomościami lub odrębnych przepisów bądź poprzednim właścicielom zbywanej nieruchomości lub ich spadkobiercom pozbawionym prawa własności przed dnie</w:t>
      </w:r>
      <w:r w:rsidR="00F646D9">
        <w:rPr>
          <w:sz w:val="22"/>
          <w:szCs w:val="22"/>
        </w:rPr>
        <w:t>m 5 grudnia 1990 r.</w:t>
      </w:r>
    </w:p>
    <w:p w:rsidR="00647866" w:rsidRDefault="00647866" w:rsidP="001A642C">
      <w:pPr>
        <w:spacing w:line="100" w:lineRule="atLeast"/>
      </w:pPr>
    </w:p>
    <w:p w:rsidR="00647866" w:rsidRDefault="00647866" w:rsidP="00647866">
      <w:pPr>
        <w:spacing w:line="100" w:lineRule="atLeast"/>
        <w:jc w:val="center"/>
      </w:pPr>
    </w:p>
    <w:p w:rsidR="00355B9B" w:rsidRDefault="00647866" w:rsidP="001A642C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="00F646D9">
        <w:t xml:space="preserve"> r.</w:t>
      </w:r>
      <w:r w:rsidR="00F646D9">
        <w:tab/>
      </w:r>
      <w:r w:rsidR="00F646D9">
        <w:tab/>
      </w:r>
      <w:r w:rsidRPr="00E33139">
        <w:tab/>
      </w:r>
      <w:r>
        <w:tab/>
      </w:r>
      <w:r w:rsidRPr="00E33139">
        <w:t xml:space="preserve">Zdjęto dnia </w:t>
      </w:r>
      <w:r w:rsidR="001F7365">
        <w:t>……………………….2017</w:t>
      </w:r>
      <w:r w:rsidR="001A642C">
        <w:t xml:space="preserve"> r.</w:t>
      </w:r>
    </w:p>
    <w:p w:rsidR="00BB226C" w:rsidRDefault="00BB226C" w:rsidP="001A642C">
      <w:pPr>
        <w:spacing w:line="100" w:lineRule="atLeast"/>
        <w:jc w:val="center"/>
      </w:pPr>
    </w:p>
    <w:p w:rsidR="00BB226C" w:rsidRDefault="00BB226C" w:rsidP="00BB226C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BB226C" w:rsidRDefault="00BB226C" w:rsidP="00BB226C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BB226C" w:rsidRDefault="00BB226C" w:rsidP="001A642C">
      <w:pPr>
        <w:spacing w:line="100" w:lineRule="atLeast"/>
        <w:jc w:val="center"/>
      </w:pPr>
    </w:p>
    <w:sectPr w:rsidR="00BB226C" w:rsidSect="00FC757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651E"/>
    <w:rsid w:val="00045661"/>
    <w:rsid w:val="00055D12"/>
    <w:rsid w:val="00067089"/>
    <w:rsid w:val="000A3B02"/>
    <w:rsid w:val="000C33D2"/>
    <w:rsid w:val="000C6B95"/>
    <w:rsid w:val="000F07B0"/>
    <w:rsid w:val="00112935"/>
    <w:rsid w:val="0016785F"/>
    <w:rsid w:val="0018003C"/>
    <w:rsid w:val="00193029"/>
    <w:rsid w:val="001A642C"/>
    <w:rsid w:val="001C04E0"/>
    <w:rsid w:val="001C5F4D"/>
    <w:rsid w:val="001D1ADA"/>
    <w:rsid w:val="001F7365"/>
    <w:rsid w:val="002315C2"/>
    <w:rsid w:val="00257156"/>
    <w:rsid w:val="00281E15"/>
    <w:rsid w:val="002D501F"/>
    <w:rsid w:val="002F326F"/>
    <w:rsid w:val="00331780"/>
    <w:rsid w:val="00336521"/>
    <w:rsid w:val="00353ED8"/>
    <w:rsid w:val="00355B9B"/>
    <w:rsid w:val="003639B7"/>
    <w:rsid w:val="0036429A"/>
    <w:rsid w:val="003748FD"/>
    <w:rsid w:val="00401F88"/>
    <w:rsid w:val="00406A50"/>
    <w:rsid w:val="00425C96"/>
    <w:rsid w:val="00440152"/>
    <w:rsid w:val="00440B96"/>
    <w:rsid w:val="00450F1E"/>
    <w:rsid w:val="004C18FE"/>
    <w:rsid w:val="00506A7D"/>
    <w:rsid w:val="00506FE3"/>
    <w:rsid w:val="0052528A"/>
    <w:rsid w:val="005718BD"/>
    <w:rsid w:val="005739A0"/>
    <w:rsid w:val="005B2EB0"/>
    <w:rsid w:val="005B71AB"/>
    <w:rsid w:val="005E3EF3"/>
    <w:rsid w:val="005E6F78"/>
    <w:rsid w:val="005F7283"/>
    <w:rsid w:val="00607D02"/>
    <w:rsid w:val="00611A7D"/>
    <w:rsid w:val="0063586C"/>
    <w:rsid w:val="00647866"/>
    <w:rsid w:val="006544DE"/>
    <w:rsid w:val="006A3E88"/>
    <w:rsid w:val="006D6228"/>
    <w:rsid w:val="006F1A98"/>
    <w:rsid w:val="006F1B2D"/>
    <w:rsid w:val="00741EAE"/>
    <w:rsid w:val="00743BE9"/>
    <w:rsid w:val="00744D4C"/>
    <w:rsid w:val="00754737"/>
    <w:rsid w:val="007615AF"/>
    <w:rsid w:val="00764E4E"/>
    <w:rsid w:val="00771E57"/>
    <w:rsid w:val="00786061"/>
    <w:rsid w:val="00787D77"/>
    <w:rsid w:val="007C0EE4"/>
    <w:rsid w:val="007D5228"/>
    <w:rsid w:val="007D639E"/>
    <w:rsid w:val="008054AC"/>
    <w:rsid w:val="00827FC8"/>
    <w:rsid w:val="00833897"/>
    <w:rsid w:val="00854C23"/>
    <w:rsid w:val="00877A8F"/>
    <w:rsid w:val="008967B3"/>
    <w:rsid w:val="008A75AE"/>
    <w:rsid w:val="008C7017"/>
    <w:rsid w:val="008D7D94"/>
    <w:rsid w:val="008E2690"/>
    <w:rsid w:val="008F493F"/>
    <w:rsid w:val="00914F68"/>
    <w:rsid w:val="00915633"/>
    <w:rsid w:val="00924C8F"/>
    <w:rsid w:val="00944C89"/>
    <w:rsid w:val="009468DE"/>
    <w:rsid w:val="00975E2B"/>
    <w:rsid w:val="009860C6"/>
    <w:rsid w:val="009A262D"/>
    <w:rsid w:val="009C6808"/>
    <w:rsid w:val="009D4A24"/>
    <w:rsid w:val="009F2D3C"/>
    <w:rsid w:val="009F7E09"/>
    <w:rsid w:val="00A02CC1"/>
    <w:rsid w:val="00A73A15"/>
    <w:rsid w:val="00A82B97"/>
    <w:rsid w:val="00A843BE"/>
    <w:rsid w:val="00AA3A9D"/>
    <w:rsid w:val="00AC37E2"/>
    <w:rsid w:val="00B2747A"/>
    <w:rsid w:val="00B45CFA"/>
    <w:rsid w:val="00BB226C"/>
    <w:rsid w:val="00BC1C15"/>
    <w:rsid w:val="00BF4976"/>
    <w:rsid w:val="00C1515B"/>
    <w:rsid w:val="00C20AEF"/>
    <w:rsid w:val="00C36C9B"/>
    <w:rsid w:val="00C87615"/>
    <w:rsid w:val="00CA0344"/>
    <w:rsid w:val="00CB2F70"/>
    <w:rsid w:val="00CC5326"/>
    <w:rsid w:val="00D216F2"/>
    <w:rsid w:val="00D218E9"/>
    <w:rsid w:val="00D44DDD"/>
    <w:rsid w:val="00D4772D"/>
    <w:rsid w:val="00D75A9E"/>
    <w:rsid w:val="00D76C0E"/>
    <w:rsid w:val="00DA778B"/>
    <w:rsid w:val="00DD13AC"/>
    <w:rsid w:val="00E26C9E"/>
    <w:rsid w:val="00E36F14"/>
    <w:rsid w:val="00E37B93"/>
    <w:rsid w:val="00E4768C"/>
    <w:rsid w:val="00E75D32"/>
    <w:rsid w:val="00ED07E4"/>
    <w:rsid w:val="00ED1156"/>
    <w:rsid w:val="00F1114F"/>
    <w:rsid w:val="00F2710E"/>
    <w:rsid w:val="00F36F60"/>
    <w:rsid w:val="00F5625A"/>
    <w:rsid w:val="00F60C4E"/>
    <w:rsid w:val="00F646D9"/>
    <w:rsid w:val="00F715A2"/>
    <w:rsid w:val="00F71A14"/>
    <w:rsid w:val="00F767F2"/>
    <w:rsid w:val="00FB1AB8"/>
    <w:rsid w:val="00FB2FA5"/>
    <w:rsid w:val="00FB434D"/>
    <w:rsid w:val="00FC3C77"/>
    <w:rsid w:val="00FC7574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8</cp:revision>
  <cp:lastPrinted>2016-12-15T11:04:00Z</cp:lastPrinted>
  <dcterms:created xsi:type="dcterms:W3CDTF">2016-12-15T10:08:00Z</dcterms:created>
  <dcterms:modified xsi:type="dcterms:W3CDTF">2016-12-21T12:37:00Z</dcterms:modified>
</cp:coreProperties>
</file>